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754"/>
        <w:gridCol w:w="5218"/>
        <w:gridCol w:w="221"/>
        <w:gridCol w:w="146"/>
        <w:gridCol w:w="411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82D16"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ADFBC25" w:rsidR="00093CA9" w:rsidRPr="007849A9" w:rsidRDefault="00AB234A" w:rsidP="00093CA9">
            <w:pPr>
              <w:rPr>
                <w:lang w:val="es-ES"/>
              </w:rPr>
            </w:pPr>
            <w:r w:rsidRPr="007849A9">
              <w:rPr>
                <w:lang w:val="es-ES"/>
              </w:rPr>
              <w:t xml:space="preserve">General administrative </w:t>
            </w:r>
            <w:proofErr w:type="spellStart"/>
            <w:r w:rsidRPr="007849A9">
              <w:rPr>
                <w:lang w:val="es-ES"/>
              </w:rPr>
              <w:t>provisions</w:t>
            </w:r>
            <w:proofErr w:type="spellEnd"/>
            <w:r w:rsidRPr="007849A9">
              <w:rPr>
                <w:lang w:val="es-ES"/>
              </w:rPr>
              <w:t xml:space="preserve"> </w:t>
            </w:r>
            <w:proofErr w:type="spellStart"/>
            <w:r w:rsidRPr="007849A9">
              <w:rPr>
                <w:lang w:val="es-ES"/>
              </w:rPr>
              <w:t>that</w:t>
            </w:r>
            <w:proofErr w:type="spellEnd"/>
            <w:r w:rsidRPr="007849A9">
              <w:rPr>
                <w:lang w:val="es-ES"/>
              </w:rPr>
              <w:t xml:space="preserve"> </w:t>
            </w:r>
            <w:proofErr w:type="spellStart"/>
            <w:r w:rsidRPr="007849A9">
              <w:rPr>
                <w:lang w:val="es-ES"/>
              </w:rPr>
              <w:t>establish</w:t>
            </w:r>
            <w:proofErr w:type="spellEnd"/>
            <w:r w:rsidRPr="007849A9">
              <w:rPr>
                <w:lang w:val="es-ES"/>
              </w:rPr>
              <w:t xml:space="preserve"> </w:t>
            </w:r>
            <w:proofErr w:type="spellStart"/>
            <w:r w:rsidRPr="007849A9">
              <w:rPr>
                <w:lang w:val="es-ES"/>
              </w:rPr>
              <w:t>the</w:t>
            </w:r>
            <w:proofErr w:type="spellEnd"/>
            <w:r w:rsidRPr="007849A9">
              <w:rPr>
                <w:lang w:val="es-ES"/>
              </w:rPr>
              <w:t xml:space="preserve"> </w:t>
            </w:r>
            <w:proofErr w:type="spellStart"/>
            <w:r w:rsidRPr="007849A9">
              <w:rPr>
                <w:lang w:val="es-ES"/>
              </w:rPr>
              <w:t>guidelines</w:t>
            </w:r>
            <w:proofErr w:type="spellEnd"/>
            <w:r w:rsidRPr="007849A9">
              <w:rPr>
                <w:lang w:val="es-ES"/>
              </w:rPr>
              <w:t xml:space="preserve"> </w:t>
            </w:r>
            <w:proofErr w:type="spellStart"/>
            <w:r w:rsidRPr="007849A9">
              <w:rPr>
                <w:lang w:val="es-ES"/>
              </w:rPr>
              <w:t>for</w:t>
            </w:r>
            <w:proofErr w:type="spellEnd"/>
            <w:r w:rsidRPr="007849A9">
              <w:rPr>
                <w:lang w:val="es-ES"/>
              </w:rPr>
              <w:t xml:space="preserve"> </w:t>
            </w:r>
            <w:proofErr w:type="spellStart"/>
            <w:r w:rsidRPr="007849A9">
              <w:rPr>
                <w:lang w:val="es-ES"/>
              </w:rPr>
              <w:t>the</w:t>
            </w:r>
            <w:proofErr w:type="spellEnd"/>
            <w:r w:rsidRPr="007849A9">
              <w:rPr>
                <w:lang w:val="es-ES"/>
              </w:rPr>
              <w:t xml:space="preserve"> </w:t>
            </w:r>
            <w:proofErr w:type="spellStart"/>
            <w:r w:rsidRPr="007849A9">
              <w:rPr>
                <w:lang w:val="es-ES"/>
              </w:rPr>
              <w:t>prevention</w:t>
            </w:r>
            <w:proofErr w:type="spellEnd"/>
            <w:r w:rsidRPr="007849A9">
              <w:rPr>
                <w:lang w:val="es-ES"/>
              </w:rPr>
              <w:t xml:space="preserve"> and integral control </w:t>
            </w:r>
            <w:proofErr w:type="spellStart"/>
            <w:r w:rsidRPr="007849A9">
              <w:rPr>
                <w:lang w:val="es-ES"/>
              </w:rPr>
              <w:t>of</w:t>
            </w:r>
            <w:proofErr w:type="spellEnd"/>
            <w:r w:rsidRPr="007849A9">
              <w:rPr>
                <w:lang w:val="es-ES"/>
              </w:rPr>
              <w:t xml:space="preserve"> </w:t>
            </w:r>
            <w:proofErr w:type="spellStart"/>
            <w:r w:rsidRPr="007849A9">
              <w:rPr>
                <w:lang w:val="es-ES"/>
              </w:rPr>
              <w:t>methane</w:t>
            </w:r>
            <w:proofErr w:type="spellEnd"/>
            <w:r w:rsidRPr="007849A9">
              <w:rPr>
                <w:lang w:val="es-ES"/>
              </w:rPr>
              <w:t xml:space="preserve"> </w:t>
            </w:r>
            <w:proofErr w:type="spellStart"/>
            <w:r w:rsidRPr="007849A9">
              <w:rPr>
                <w:lang w:val="es-ES"/>
              </w:rPr>
              <w:t>emissions</w:t>
            </w:r>
            <w:proofErr w:type="spellEnd"/>
            <w:r w:rsidRPr="007849A9">
              <w:rPr>
                <w:lang w:val="es-ES"/>
              </w:rPr>
              <w:t xml:space="preserve"> </w:t>
            </w:r>
            <w:proofErr w:type="spellStart"/>
            <w:r w:rsidRPr="007849A9">
              <w:rPr>
                <w:lang w:val="es-ES"/>
              </w:rPr>
              <w:t>from</w:t>
            </w:r>
            <w:proofErr w:type="spellEnd"/>
            <w:r w:rsidRPr="007849A9">
              <w:rPr>
                <w:lang w:val="es-ES"/>
              </w:rPr>
              <w:t xml:space="preserve"> </w:t>
            </w:r>
            <w:proofErr w:type="spellStart"/>
            <w:r w:rsidRPr="007849A9">
              <w:rPr>
                <w:lang w:val="es-ES"/>
              </w:rPr>
              <w:t>the</w:t>
            </w:r>
            <w:proofErr w:type="spellEnd"/>
            <w:r w:rsidRPr="007849A9">
              <w:rPr>
                <w:lang w:val="es-ES"/>
              </w:rPr>
              <w:t xml:space="preserve"> </w:t>
            </w:r>
            <w:proofErr w:type="spellStart"/>
            <w:r w:rsidRPr="007849A9">
              <w:rPr>
                <w:lang w:val="es-ES"/>
              </w:rPr>
              <w:t>hydrocarbon</w:t>
            </w:r>
            <w:proofErr w:type="spellEnd"/>
            <w:r w:rsidRPr="007849A9">
              <w:rPr>
                <w:lang w:val="es-ES"/>
              </w:rPr>
              <w:t xml:space="preserve"> sector (Disposiciones administrativas de carácter general que establecen los lineamientos para la prevención y el control integral de las emisiones de metano del sector hidrocarburos).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B8FBD76" w:rsidR="00093CA9" w:rsidRDefault="007849A9" w:rsidP="00093CA9">
            <w:hyperlink r:id="rId17" w:anchor="gsc.tab=0" w:history="1">
              <w:r w:rsidRPr="001A5ED2">
                <w:rPr>
                  <w:rStyle w:val="Hyperlink"/>
                </w:rPr>
                <w:t>https://web.archive.org/web/20250701192244/https://www.dof.gob.mx/nota_detalle.php?codigo=5543033&amp;fecha=06/11/2018#gsc.tab=0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DCDD0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50A3DBE" w:rsidR="00093CA9" w:rsidRDefault="00AB234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31BA5E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71A3F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1697E2D" w:rsidR="00093CA9" w:rsidRDefault="00AB234A"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5941F77" w14:textId="77777777" w:rsidR="00093CA9" w:rsidRDefault="007849A9" w:rsidP="00093CA9">
            <w:pPr>
              <w:rPr>
                <w:lang w:val="en-US"/>
              </w:rPr>
            </w:pPr>
            <w:r>
              <w:t xml:space="preserve">These Administrative Dispositions were issued in the framework of ASEA´s mandate to </w:t>
            </w:r>
            <w:r w:rsidRPr="007849A9">
              <w:rPr>
                <w:lang w:val="en-US"/>
              </w:rPr>
              <w:t>prevent and control atmospheric emissions derived from the activities of the Hydrocarbon Sector, including methane emissions, due to the evidence of the adverse impact they have on human health, on the environment and on other activities on which national development depends.</w:t>
            </w:r>
          </w:p>
          <w:p w14:paraId="4590AE25" w14:textId="77777777" w:rsidR="0005514D" w:rsidRDefault="0005514D" w:rsidP="00093CA9">
            <w:pPr>
              <w:rPr>
                <w:lang w:val="en-US"/>
              </w:rPr>
            </w:pPr>
            <w:r>
              <w:rPr>
                <w:lang w:val="en-US"/>
              </w:rPr>
              <w:t>These Dispositions were also issued with the purpose of complying with the commitments Mexico took on by ratifying the Paris Agreement, by which it shall take actions to contribute</w:t>
            </w:r>
            <w:r w:rsidRPr="0005514D">
              <w:rPr>
                <w:lang w:val="en-US"/>
              </w:rPr>
              <w:t xml:space="preserve"> to the goal of keeping the global average temperature increase below 2°C and continue efforts to limit this increase to 1.5°C above pre-industrial levels</w:t>
            </w:r>
            <w:r>
              <w:rPr>
                <w:lang w:val="en-US"/>
              </w:rPr>
              <w:t xml:space="preserve">. Additionally, by subscribing to </w:t>
            </w:r>
            <w:r w:rsidRPr="0005514D">
              <w:rPr>
                <w:lang w:val="en-US"/>
              </w:rPr>
              <w:t>North American Leaders' Declaration on Climate, Clean Energy and Environment</w:t>
            </w:r>
            <w:r>
              <w:rPr>
                <w:lang w:val="en-US"/>
              </w:rPr>
              <w:t>al</w:t>
            </w:r>
            <w:r w:rsidRPr="0005514D">
              <w:rPr>
                <w:lang w:val="en-US"/>
              </w:rPr>
              <w:t xml:space="preserve"> Partnership, </w:t>
            </w:r>
            <w:r>
              <w:rPr>
                <w:lang w:val="en-US"/>
              </w:rPr>
              <w:t>Mexico committed to</w:t>
            </w:r>
            <w:r w:rsidRPr="0005514D">
              <w:rPr>
                <w:lang w:val="en-US"/>
              </w:rPr>
              <w:t xml:space="preserve"> the regional goal of reducing methane emissions from the oil and gas sector by 40% to 45% by 2025.</w:t>
            </w:r>
            <w:r>
              <w:rPr>
                <w:lang w:val="en-US"/>
              </w:rPr>
              <w:t xml:space="preserve"> Hence, this instrument was issued to comply with international commitments in relation to methane emissions prevention and control.</w:t>
            </w:r>
          </w:p>
          <w:p w14:paraId="18257824" w14:textId="0E7594DD" w:rsidR="00BC257C" w:rsidRPr="007849A9" w:rsidRDefault="00BC257C" w:rsidP="00093CA9">
            <w:pPr>
              <w:rPr>
                <w:lang w:val="en-US"/>
              </w:rPr>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C010C93" w:rsidR="00093CA9" w:rsidRDefault="007849A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F46E6D" w:rsidR="00093CA9" w:rsidRPr="00173D7C" w:rsidRDefault="007849A9"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EE59F50" w:rsidR="00093CA9" w:rsidRDefault="007849A9" w:rsidP="00093CA9">
            <w:r>
              <w:t>Regulatory agency/Supervisory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82D16"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1618A97" w:rsidR="00093CA9" w:rsidRPr="007849A9" w:rsidRDefault="007849A9" w:rsidP="00093CA9">
            <w:pPr>
              <w:rPr>
                <w:lang w:val="es-ES"/>
              </w:rPr>
            </w:pPr>
            <w:proofErr w:type="spellStart"/>
            <w:r w:rsidRPr="007849A9">
              <w:rPr>
                <w:lang w:val="es-ES"/>
              </w:rPr>
              <w:t>National</w:t>
            </w:r>
            <w:proofErr w:type="spellEnd"/>
            <w:r w:rsidRPr="007849A9">
              <w:rPr>
                <w:lang w:val="es-ES"/>
              </w:rPr>
              <w:t xml:space="preserve"> Agency </w:t>
            </w:r>
            <w:proofErr w:type="spellStart"/>
            <w:r w:rsidRPr="007849A9">
              <w:rPr>
                <w:lang w:val="es-ES"/>
              </w:rPr>
              <w:t>for</w:t>
            </w:r>
            <w:proofErr w:type="spellEnd"/>
            <w:r w:rsidRPr="007849A9">
              <w:rPr>
                <w:lang w:val="es-ES"/>
              </w:rPr>
              <w:t xml:space="preserve"> Industrial Safety and </w:t>
            </w:r>
            <w:proofErr w:type="spellStart"/>
            <w:r w:rsidRPr="007849A9">
              <w:rPr>
                <w:lang w:val="es-ES"/>
              </w:rPr>
              <w:t>Environmental</w:t>
            </w:r>
            <w:proofErr w:type="spellEnd"/>
            <w:r w:rsidRPr="007849A9">
              <w:rPr>
                <w:lang w:val="es-ES"/>
              </w:rPr>
              <w:t xml:space="preserve"> </w:t>
            </w:r>
            <w:proofErr w:type="spellStart"/>
            <w:r w:rsidRPr="007849A9">
              <w:rPr>
                <w:lang w:val="es-ES"/>
              </w:rPr>
              <w:t>Protection</w:t>
            </w:r>
            <w:proofErr w:type="spellEnd"/>
            <w:r w:rsidRPr="007849A9">
              <w:rPr>
                <w:lang w:val="es-ES"/>
              </w:rPr>
              <w:t xml:space="preserve"> </w:t>
            </w:r>
            <w:proofErr w:type="spellStart"/>
            <w:r w:rsidRPr="007849A9">
              <w:rPr>
                <w:lang w:val="es-ES"/>
              </w:rPr>
              <w:t>of</w:t>
            </w:r>
            <w:proofErr w:type="spellEnd"/>
            <w:r w:rsidRPr="007849A9">
              <w:rPr>
                <w:lang w:val="es-ES"/>
              </w:rPr>
              <w:t xml:space="preserve"> </w:t>
            </w:r>
            <w:proofErr w:type="spellStart"/>
            <w:r w:rsidRPr="007849A9">
              <w:rPr>
                <w:lang w:val="es-ES"/>
              </w:rPr>
              <w:t>the</w:t>
            </w:r>
            <w:proofErr w:type="spellEnd"/>
            <w:r w:rsidRPr="007849A9">
              <w:rPr>
                <w:lang w:val="es-ES"/>
              </w:rPr>
              <w:t xml:space="preserve"> </w:t>
            </w:r>
            <w:proofErr w:type="spellStart"/>
            <w:r w:rsidRPr="007849A9">
              <w:rPr>
                <w:lang w:val="es-ES"/>
              </w:rPr>
              <w:t>Hydrocarbons</w:t>
            </w:r>
            <w:proofErr w:type="spellEnd"/>
            <w:r w:rsidRPr="007849A9">
              <w:rPr>
                <w:lang w:val="es-ES"/>
              </w:rPr>
              <w:t xml:space="preserve"> Sector (Agencia Nacional de Seguridad Industrial y de Protección al Medio Ambiente del Sector Hidrocarburos</w:t>
            </w:r>
            <w:r>
              <w:rPr>
                <w:lang w:val="es-ES"/>
              </w:rPr>
              <w:t xml:space="preserve"> -ASEA-).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0000F81" w:rsidR="00093CA9" w:rsidRPr="006B7B0D" w:rsidRDefault="0005514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3B08A89" w:rsidR="00C4670C" w:rsidRPr="00C37D48" w:rsidRDefault="00BC257C"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500A5704" w:rsidR="00C4670C" w:rsidRPr="00C37D48" w:rsidRDefault="00BC257C"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4ABB247" w:rsidR="00C4670C" w:rsidRPr="00C37D48" w:rsidRDefault="00AE1AC4"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7B91D94" w:rsidR="00C4670C" w:rsidRPr="00C37D48" w:rsidRDefault="00BC257C"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6BF8675" w:rsidR="00C4670C" w:rsidRPr="00C37D48" w:rsidRDefault="00BC257C"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C96046D" w:rsidR="00C4670C" w:rsidRPr="00C37D48" w:rsidRDefault="00BC257C"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E681614"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0BB4B3F0" w:rsidR="00C4670C" w:rsidRPr="00C37D48" w:rsidRDefault="00AE1AC4"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9E34201"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2E67C49F" w:rsidR="00C4670C" w:rsidRPr="00C37D48" w:rsidRDefault="00AE1AC4"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6A89C738" w:rsidR="00C4670C" w:rsidRPr="00C37D48" w:rsidRDefault="00AE1AC4"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42AC98D8" w:rsidR="00C4670C" w:rsidRPr="00C37D48" w:rsidRDefault="00AE1AC4"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27066B7" w:rsidR="00C4670C" w:rsidRPr="00C37D48" w:rsidRDefault="00AE1AC4"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E055CF3" w:rsidR="00C4670C" w:rsidRPr="00C37D48" w:rsidRDefault="00BC257C"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ECBB4C2" w:rsidR="00C4670C" w:rsidRPr="00C37D48" w:rsidRDefault="00BC257C"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2A93641" w14:textId="4F2C7771" w:rsidR="00BC257C" w:rsidRDefault="00BC257C" w:rsidP="00BC257C">
            <w:pPr>
              <w:rPr>
                <w:rFonts w:ascii="Calibri" w:hAnsi="Calibri" w:cs="Calibri"/>
                <w:lang w:val="en-US"/>
              </w:rPr>
            </w:pPr>
            <w:r w:rsidRPr="00BC257C">
              <w:rPr>
                <w:rFonts w:ascii="Calibri" w:hAnsi="Calibri" w:cs="Calibri"/>
                <w:lang w:val="en-US"/>
              </w:rPr>
              <w:t xml:space="preserve">Article </w:t>
            </w:r>
            <w:r>
              <w:rPr>
                <w:rFonts w:ascii="Calibri" w:hAnsi="Calibri" w:cs="Calibri"/>
                <w:lang w:val="en-US"/>
              </w:rPr>
              <w:t>3, subsection VIII of t</w:t>
            </w:r>
            <w:r w:rsidRPr="00BC257C">
              <w:rPr>
                <w:rFonts w:ascii="Calibri" w:hAnsi="Calibri" w:cs="Calibri"/>
                <w:lang w:val="en-US"/>
              </w:rPr>
              <w:t>he</w:t>
            </w:r>
            <w:r>
              <w:rPr>
                <w:rFonts w:ascii="Calibri" w:hAnsi="Calibri" w:cs="Calibri"/>
                <w:lang w:val="en-US"/>
              </w:rPr>
              <w:t xml:space="preserve"> Law for the </w:t>
            </w:r>
            <w:r w:rsidRPr="007849A9">
              <w:rPr>
                <w:lang w:val="en-US"/>
              </w:rPr>
              <w:t>National Agency for Industrial Safety and Environmental Protection of the Hydrocarbons Sector</w:t>
            </w:r>
            <w:r>
              <w:rPr>
                <w:lang w:val="en-US"/>
              </w:rPr>
              <w:t>, provides that the term “Regulated Entities”</w:t>
            </w:r>
            <w:r>
              <w:rPr>
                <w:rFonts w:ascii="Calibri" w:hAnsi="Calibri" w:cs="Calibri"/>
                <w:lang w:val="en-US"/>
              </w:rPr>
              <w:t xml:space="preserve"> shall be understood as</w:t>
            </w:r>
            <w:r w:rsidRPr="00BC257C">
              <w:rPr>
                <w:rFonts w:ascii="Calibri" w:hAnsi="Calibri" w:cs="Calibri"/>
                <w:lang w:val="en-US"/>
              </w:rPr>
              <w:t xml:space="preserve"> </w:t>
            </w:r>
            <w:r>
              <w:rPr>
                <w:rFonts w:ascii="Calibri" w:hAnsi="Calibri" w:cs="Calibri"/>
                <w:lang w:val="en-US"/>
              </w:rPr>
              <w:t>“</w:t>
            </w:r>
            <w:r w:rsidRPr="00BC257C">
              <w:rPr>
                <w:rFonts w:ascii="Calibri" w:hAnsi="Calibri" w:cs="Calibri"/>
                <w:lang w:val="en-US"/>
              </w:rPr>
              <w:t>productive companies of the State, individuals and companies of the public, social and private sectors</w:t>
            </w:r>
            <w:r>
              <w:rPr>
                <w:rFonts w:ascii="Calibri" w:hAnsi="Calibri" w:cs="Calibri"/>
                <w:lang w:val="en-US"/>
              </w:rPr>
              <w:t xml:space="preserve"> </w:t>
            </w:r>
            <w:r w:rsidRPr="00BC257C">
              <w:rPr>
                <w:rFonts w:ascii="Calibri" w:hAnsi="Calibri" w:cs="Calibri"/>
                <w:lang w:val="en-US"/>
              </w:rPr>
              <w:t>that carry out regulated activities and subject matter of this</w:t>
            </w:r>
            <w:r>
              <w:rPr>
                <w:rFonts w:ascii="Calibri" w:hAnsi="Calibri" w:cs="Calibri"/>
                <w:lang w:val="en-US"/>
              </w:rPr>
              <w:t xml:space="preserve"> </w:t>
            </w:r>
            <w:r w:rsidRPr="00BC257C">
              <w:rPr>
                <w:rFonts w:ascii="Calibri" w:hAnsi="Calibri" w:cs="Calibri"/>
                <w:lang w:val="en-US"/>
              </w:rPr>
              <w:t>Law</w:t>
            </w:r>
            <w:r>
              <w:rPr>
                <w:rFonts w:ascii="Calibri" w:hAnsi="Calibri" w:cs="Calibri"/>
                <w:lang w:val="en-US"/>
              </w:rPr>
              <w:t xml:space="preserve"> [meaning, those who carry out activities in the hydrocarbons sector]”. </w:t>
            </w:r>
          </w:p>
          <w:p w14:paraId="27699405" w14:textId="7C80CFAA" w:rsidR="00BC257C" w:rsidRPr="00BC257C" w:rsidRDefault="00BC257C" w:rsidP="00BC257C">
            <w:pPr>
              <w:rPr>
                <w:rFonts w:ascii="Calibri" w:hAnsi="Calibri" w:cs="Calibri"/>
                <w:lang w:val="en-US"/>
              </w:rPr>
            </w:pPr>
            <w:r>
              <w:rPr>
                <w:rFonts w:ascii="Calibri" w:hAnsi="Calibri" w:cs="Calibri"/>
                <w:lang w:val="en-US"/>
              </w:rPr>
              <w:t xml:space="preserve">Article 7 of the Administrative Dispositions </w:t>
            </w:r>
            <w:r w:rsidR="00AE1AC4">
              <w:rPr>
                <w:rFonts w:ascii="Calibri" w:hAnsi="Calibri" w:cs="Calibri"/>
                <w:lang w:val="en-US"/>
              </w:rPr>
              <w:t xml:space="preserve">provides that </w:t>
            </w:r>
            <w:r>
              <w:rPr>
                <w:lang w:val="en-US"/>
              </w:rPr>
              <w:t>targeted entities of the law, meaning those who are under the obligation to provide information requested by ASEA under the Di</w:t>
            </w:r>
            <w:r w:rsidR="00AE1AC4">
              <w:rPr>
                <w:lang w:val="en-US"/>
              </w:rPr>
              <w:t>s</w:t>
            </w:r>
            <w:r>
              <w:rPr>
                <w:lang w:val="en-US"/>
              </w:rPr>
              <w:t>positions, are the</w:t>
            </w:r>
            <w:r w:rsidR="00AE1AC4">
              <w:rPr>
                <w:lang w:val="en-US"/>
              </w:rPr>
              <w:t xml:space="preserve"> Regulated Entities, defined above. </w:t>
            </w:r>
          </w:p>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50AD296" w:rsidR="004F276F" w:rsidRPr="00C37D48" w:rsidRDefault="005862D0"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A171E86"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3FACAEF" w:rsidR="004F276F" w:rsidRPr="00C37D48" w:rsidRDefault="00AE1AC4"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AE1AC4"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92AD72" w14:textId="2AA880DA" w:rsidR="00AE1AC4" w:rsidRPr="00AE1AC4" w:rsidRDefault="00AE1AC4" w:rsidP="00AE1AC4">
            <w:pPr>
              <w:rPr>
                <w:rFonts w:ascii="Calibri" w:hAnsi="Calibri" w:cs="Calibri"/>
                <w:lang w:val="en-US"/>
              </w:rPr>
            </w:pPr>
            <w:r w:rsidRPr="00AE1AC4">
              <w:rPr>
                <w:rFonts w:ascii="Calibri" w:hAnsi="Calibri" w:cs="Calibri"/>
                <w:lang w:val="en-US"/>
              </w:rPr>
              <w:t>Article 5 of ASEA’s Law pro</w:t>
            </w:r>
            <w:r>
              <w:rPr>
                <w:rFonts w:ascii="Calibri" w:hAnsi="Calibri" w:cs="Calibri"/>
                <w:lang w:val="en-US"/>
              </w:rPr>
              <w:t xml:space="preserve">vides that it has the authority to impose sanctions </w:t>
            </w:r>
            <w:proofErr w:type="gramStart"/>
            <w:r>
              <w:rPr>
                <w:rFonts w:ascii="Calibri" w:hAnsi="Calibri" w:cs="Calibri"/>
                <w:lang w:val="en-US"/>
              </w:rPr>
              <w:t>in</w:t>
            </w:r>
            <w:proofErr w:type="gramEnd"/>
            <w:r>
              <w:rPr>
                <w:rFonts w:ascii="Calibri" w:hAnsi="Calibri" w:cs="Calibri"/>
                <w:lang w:val="en-US"/>
              </w:rPr>
              <w:t xml:space="preserve"> </w:t>
            </w:r>
            <w:r w:rsidRPr="00AE1AC4">
              <w:rPr>
                <w:rFonts w:ascii="Calibri" w:hAnsi="Calibri" w:cs="Calibri"/>
                <w:lang w:val="en"/>
              </w:rPr>
              <w:t xml:space="preserve">matters </w:t>
            </w:r>
            <w:r>
              <w:rPr>
                <w:rFonts w:ascii="Calibri" w:hAnsi="Calibri" w:cs="Calibri"/>
                <w:lang w:val="en"/>
              </w:rPr>
              <w:t>pertaining</w:t>
            </w:r>
            <w:r w:rsidRPr="00AE1AC4">
              <w:rPr>
                <w:rFonts w:ascii="Calibri" w:hAnsi="Calibri" w:cs="Calibri"/>
                <w:lang w:val="en"/>
              </w:rPr>
              <w:t xml:space="preserve"> to Industrial Safety, Operational Safety, and environmental protection, in relation to the</w:t>
            </w:r>
            <w:r>
              <w:rPr>
                <w:rFonts w:ascii="Calibri" w:hAnsi="Calibri" w:cs="Calibri"/>
                <w:lang w:val="en"/>
              </w:rPr>
              <w:t xml:space="preserve"> Hydrocarbons</w:t>
            </w:r>
            <w:r w:rsidRPr="00AE1AC4">
              <w:rPr>
                <w:rFonts w:ascii="Calibri" w:hAnsi="Calibri" w:cs="Calibri"/>
                <w:lang w:val="en"/>
              </w:rPr>
              <w:t xml:space="preserve"> Sector's activities</w:t>
            </w:r>
            <w:r>
              <w:rPr>
                <w:rFonts w:ascii="Calibri" w:hAnsi="Calibri" w:cs="Calibri"/>
                <w:lang w:val="en"/>
              </w:rPr>
              <w:t>.</w:t>
            </w:r>
          </w:p>
          <w:p w14:paraId="643668F7" w14:textId="6A14DE34" w:rsidR="00711F61" w:rsidRPr="00AE1AC4" w:rsidRDefault="00711F61" w:rsidP="00C37D48">
            <w:pPr>
              <w:rPr>
                <w:rFonts w:ascii="Calibri" w:hAnsi="Calibri" w:cs="Calibri"/>
                <w:lang w:val="en-US"/>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566B361"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FFC8353" w:rsidR="001F30DE" w:rsidRPr="00C37D48" w:rsidRDefault="00B94051"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682D16"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6C62B41" w14:textId="18BF64EC" w:rsidR="00B94051" w:rsidRPr="00682D16" w:rsidRDefault="00B94051" w:rsidP="00B94051">
            <w:pPr>
              <w:rPr>
                <w:rFonts w:ascii="Calibri" w:hAnsi="Calibri" w:cs="Calibri"/>
                <w:b/>
                <w:bCs/>
                <w:lang w:val="en-US"/>
              </w:rPr>
            </w:pPr>
            <w:r w:rsidRPr="00682D16">
              <w:rPr>
                <w:rFonts w:ascii="Calibri" w:hAnsi="Calibri" w:cs="Calibri"/>
                <w:lang w:val="en-US"/>
              </w:rPr>
              <w:t xml:space="preserve">In May 2025, the Supreme Court of Justice of the Nation (SCJN) unanimously ordered that Pemex </w:t>
            </w:r>
            <w:proofErr w:type="spellStart"/>
            <w:r w:rsidRPr="00682D16">
              <w:rPr>
                <w:rFonts w:ascii="Calibri" w:hAnsi="Calibri" w:cs="Calibri"/>
                <w:lang w:val="en-US"/>
              </w:rPr>
              <w:t>Logística</w:t>
            </w:r>
            <w:proofErr w:type="spellEnd"/>
            <w:r w:rsidRPr="00682D16">
              <w:rPr>
                <w:rFonts w:ascii="Calibri" w:hAnsi="Calibri" w:cs="Calibri"/>
                <w:lang w:val="en-US"/>
              </w:rPr>
              <w:t xml:space="preserve"> must publicly disclose its detailed methane emissions data — by well, component, or equipment, expressed in grams, kilograms, or tons — classifying it as environmental information of public interest, and making it clear that such data is not subject to national security classification or industrial secrecy.</w:t>
            </w:r>
          </w:p>
          <w:p w14:paraId="3EEF6232" w14:textId="514103C5" w:rsidR="001F30DE" w:rsidRDefault="001F30DE" w:rsidP="00C37D48">
            <w:pPr>
              <w:rPr>
                <w:rFonts w:ascii="Calibri" w:hAnsi="Calibri" w:cs="Calibri"/>
              </w:rPr>
            </w:pPr>
          </w:p>
          <w:p w14:paraId="0CD89C5A" w14:textId="020BF754" w:rsidR="00B94051" w:rsidRPr="00682D16" w:rsidRDefault="00682D16" w:rsidP="00C37D48">
            <w:pPr>
              <w:rPr>
                <w:rFonts w:ascii="Calibri" w:hAnsi="Calibri" w:cs="Calibri"/>
                <w:lang w:val="es-ES"/>
              </w:rPr>
            </w:pPr>
            <w:hyperlink r:id="rId18" w:history="1">
              <w:r w:rsidRPr="00682D16">
                <w:rPr>
                  <w:rStyle w:val="Hyperlink"/>
                  <w:lang w:val="es-ES"/>
                </w:rPr>
                <w:t>Suprema Corte ordena a Pemex transparentar cifras sobre emisiones</w:t>
              </w:r>
            </w:hyperlink>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B7B5DA8" w:rsidR="004F48E8" w:rsidRPr="00C37D48" w:rsidRDefault="005862D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7D70CD2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76C4E60C" w:rsidR="000A1365" w:rsidRPr="00C37D48" w:rsidRDefault="005862D0"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9C232DF" w14:textId="659C8816" w:rsidR="00E9021F" w:rsidRPr="00E9021F" w:rsidRDefault="00E9021F" w:rsidP="00E9021F">
            <w:pPr>
              <w:rPr>
                <w:rFonts w:ascii="Calibri" w:hAnsi="Calibri" w:cs="Calibri"/>
                <w:lang w:val="en"/>
              </w:rPr>
            </w:pPr>
            <w:r>
              <w:rPr>
                <w:rFonts w:ascii="Calibri" w:hAnsi="Calibri" w:cs="Calibri"/>
              </w:rPr>
              <w:t xml:space="preserve">Article 11 of the Dispositions provides that Regulated Entities shall </w:t>
            </w:r>
            <w:r>
              <w:rPr>
                <w:rFonts w:ascii="Calibri" w:hAnsi="Calibri" w:cs="Calibri"/>
                <w:lang w:val="en"/>
              </w:rPr>
              <w:t>p</w:t>
            </w:r>
            <w:r w:rsidRPr="00E9021F">
              <w:rPr>
                <w:rFonts w:ascii="Calibri" w:hAnsi="Calibri" w:cs="Calibri"/>
                <w:lang w:val="en"/>
              </w:rPr>
              <w:t xml:space="preserve">repare a diagnosis of the methane emissions </w:t>
            </w:r>
            <w:r>
              <w:rPr>
                <w:rFonts w:ascii="Calibri" w:hAnsi="Calibri" w:cs="Calibri"/>
                <w:lang w:val="en"/>
              </w:rPr>
              <w:t xml:space="preserve">that </w:t>
            </w:r>
            <w:r w:rsidRPr="00E9021F">
              <w:rPr>
                <w:rFonts w:ascii="Calibri" w:hAnsi="Calibri" w:cs="Calibri"/>
                <w:lang w:val="en"/>
              </w:rPr>
              <w:t>the</w:t>
            </w:r>
            <w:r>
              <w:rPr>
                <w:rFonts w:ascii="Calibri" w:hAnsi="Calibri" w:cs="Calibri"/>
                <w:lang w:val="en"/>
              </w:rPr>
              <w:t>ir</w:t>
            </w:r>
            <w:r w:rsidRPr="00E9021F">
              <w:rPr>
                <w:rFonts w:ascii="Calibri" w:hAnsi="Calibri" w:cs="Calibri"/>
                <w:lang w:val="en"/>
              </w:rPr>
              <w:t xml:space="preserve"> equipment</w:t>
            </w:r>
            <w:r>
              <w:rPr>
                <w:rFonts w:ascii="Calibri" w:hAnsi="Calibri" w:cs="Calibri"/>
                <w:lang w:val="en"/>
              </w:rPr>
              <w:t xml:space="preserve"> and</w:t>
            </w:r>
            <w:r w:rsidRPr="00E9021F">
              <w:rPr>
                <w:rFonts w:ascii="Calibri" w:hAnsi="Calibri" w:cs="Calibri"/>
                <w:lang w:val="en"/>
              </w:rPr>
              <w:t xml:space="preserve"> its components</w:t>
            </w:r>
            <w:r>
              <w:rPr>
                <w:rFonts w:ascii="Calibri" w:hAnsi="Calibri" w:cs="Calibri"/>
                <w:lang w:val="en"/>
              </w:rPr>
              <w:t xml:space="preserve"> produce</w:t>
            </w:r>
            <w:r w:rsidRPr="00E9021F">
              <w:rPr>
                <w:rFonts w:ascii="Calibri" w:hAnsi="Calibri" w:cs="Calibri"/>
                <w:lang w:val="en"/>
              </w:rPr>
              <w:t>, as well as</w:t>
            </w:r>
            <w:r>
              <w:rPr>
                <w:rFonts w:ascii="Calibri" w:hAnsi="Calibri" w:cs="Calibri"/>
                <w:lang w:val="en"/>
              </w:rPr>
              <w:t xml:space="preserve"> those generated </w:t>
            </w:r>
            <w:r w:rsidRPr="00E9021F">
              <w:rPr>
                <w:rFonts w:ascii="Calibri" w:hAnsi="Calibri" w:cs="Calibri"/>
                <w:lang w:val="en"/>
              </w:rPr>
              <w:t xml:space="preserve">in well operations, </w:t>
            </w:r>
            <w:r>
              <w:rPr>
                <w:rFonts w:ascii="Calibri" w:hAnsi="Calibri" w:cs="Calibri"/>
                <w:lang w:val="en"/>
              </w:rPr>
              <w:t xml:space="preserve">and </w:t>
            </w:r>
            <w:r w:rsidRPr="00E9021F">
              <w:rPr>
                <w:rFonts w:ascii="Calibri" w:hAnsi="Calibri" w:cs="Calibri"/>
                <w:lang w:val="en"/>
              </w:rPr>
              <w:t>at the Project Facilities where the activities covered by these Provisions are carried out. This diagnosis must include:</w:t>
            </w:r>
          </w:p>
          <w:p w14:paraId="2A267BF7" w14:textId="77777777" w:rsidR="00E9021F" w:rsidRPr="00E9021F" w:rsidRDefault="00E9021F" w:rsidP="00E9021F">
            <w:pPr>
              <w:rPr>
                <w:rFonts w:ascii="Calibri" w:hAnsi="Calibri" w:cs="Calibri"/>
                <w:lang w:val="en"/>
              </w:rPr>
            </w:pPr>
          </w:p>
          <w:p w14:paraId="216E7C63" w14:textId="2940CEBD" w:rsidR="00E9021F" w:rsidRPr="00E9021F" w:rsidRDefault="00E9021F" w:rsidP="00E9021F">
            <w:pPr>
              <w:rPr>
                <w:rFonts w:ascii="Calibri" w:hAnsi="Calibri" w:cs="Calibri"/>
                <w:lang w:val="en"/>
              </w:rPr>
            </w:pPr>
            <w:r w:rsidRPr="00E9021F">
              <w:rPr>
                <w:rFonts w:ascii="Calibri" w:hAnsi="Calibri" w:cs="Calibri"/>
                <w:lang w:val="en"/>
              </w:rPr>
              <w:t>I. Identification of methane emissions.</w:t>
            </w:r>
          </w:p>
          <w:p w14:paraId="26A6AAA6" w14:textId="77777777" w:rsidR="00E9021F" w:rsidRPr="00E9021F" w:rsidRDefault="00E9021F" w:rsidP="00E9021F">
            <w:pPr>
              <w:rPr>
                <w:rFonts w:ascii="Calibri" w:hAnsi="Calibri" w:cs="Calibri"/>
                <w:lang w:val="en"/>
              </w:rPr>
            </w:pPr>
            <w:r w:rsidRPr="00E9021F">
              <w:rPr>
                <w:rFonts w:ascii="Calibri" w:hAnsi="Calibri" w:cs="Calibri"/>
                <w:lang w:val="en"/>
              </w:rPr>
              <w:t>II. Classification of methane emissions; and</w:t>
            </w:r>
          </w:p>
          <w:p w14:paraId="62ED5D1F" w14:textId="77777777" w:rsidR="00E9021F" w:rsidRPr="00E9021F" w:rsidRDefault="00E9021F" w:rsidP="00E9021F">
            <w:pPr>
              <w:rPr>
                <w:rFonts w:ascii="Calibri" w:hAnsi="Calibri" w:cs="Calibri"/>
                <w:lang w:val="en-US"/>
              </w:rPr>
            </w:pPr>
            <w:r w:rsidRPr="00E9021F">
              <w:rPr>
                <w:rFonts w:ascii="Calibri" w:hAnsi="Calibri" w:cs="Calibri"/>
                <w:lang w:val="en"/>
              </w:rPr>
              <w:t>III. Quantification of methane emissions.</w:t>
            </w:r>
          </w:p>
          <w:p w14:paraId="6552B298" w14:textId="77777777" w:rsidR="00D27551" w:rsidRDefault="00E9021F" w:rsidP="00C37D48">
            <w:pPr>
              <w:rPr>
                <w:rFonts w:ascii="Calibri" w:hAnsi="Calibri" w:cs="Calibri"/>
              </w:rPr>
            </w:pPr>
            <w:r>
              <w:rPr>
                <w:rFonts w:ascii="Calibri" w:hAnsi="Calibri" w:cs="Calibri"/>
              </w:rPr>
              <w:t>Article 18 of the Dispositions provides that Regulated Entities shall annually quantify their methane emissions. For that purpose, they may choose from the following quantification methods:</w:t>
            </w:r>
          </w:p>
          <w:p w14:paraId="329B9E8C" w14:textId="77777777" w:rsidR="00E9021F" w:rsidRPr="00E9021F" w:rsidRDefault="00E9021F" w:rsidP="00E9021F">
            <w:pPr>
              <w:rPr>
                <w:rFonts w:ascii="Calibri" w:hAnsi="Calibri" w:cs="Calibri"/>
                <w:lang w:val="en"/>
              </w:rPr>
            </w:pPr>
            <w:r w:rsidRPr="00E9021F">
              <w:rPr>
                <w:rFonts w:ascii="Calibri" w:hAnsi="Calibri" w:cs="Calibri"/>
                <w:lang w:val="en"/>
              </w:rPr>
              <w:t xml:space="preserve">I. Material </w:t>
            </w:r>
            <w:proofErr w:type="gramStart"/>
            <w:r w:rsidRPr="00E9021F">
              <w:rPr>
                <w:rFonts w:ascii="Calibri" w:hAnsi="Calibri" w:cs="Calibri"/>
                <w:lang w:val="en"/>
              </w:rPr>
              <w:t>balance;</w:t>
            </w:r>
            <w:proofErr w:type="gramEnd"/>
          </w:p>
          <w:p w14:paraId="171E2439" w14:textId="77777777" w:rsidR="00E9021F" w:rsidRPr="00E9021F" w:rsidRDefault="00E9021F" w:rsidP="00E9021F">
            <w:pPr>
              <w:rPr>
                <w:rFonts w:ascii="Calibri" w:hAnsi="Calibri" w:cs="Calibri"/>
                <w:lang w:val="en"/>
              </w:rPr>
            </w:pPr>
            <w:r w:rsidRPr="00E9021F">
              <w:rPr>
                <w:rFonts w:ascii="Calibri" w:hAnsi="Calibri" w:cs="Calibri"/>
                <w:lang w:val="en"/>
              </w:rPr>
              <w:t xml:space="preserve">II. Mathematical </w:t>
            </w:r>
            <w:proofErr w:type="gramStart"/>
            <w:r w:rsidRPr="00E9021F">
              <w:rPr>
                <w:rFonts w:ascii="Calibri" w:hAnsi="Calibri" w:cs="Calibri"/>
                <w:lang w:val="en"/>
              </w:rPr>
              <w:t>models;</w:t>
            </w:r>
            <w:proofErr w:type="gramEnd"/>
          </w:p>
          <w:p w14:paraId="7A605D7E" w14:textId="77777777" w:rsidR="00E9021F" w:rsidRPr="00E9021F" w:rsidRDefault="00E9021F" w:rsidP="00E9021F">
            <w:pPr>
              <w:rPr>
                <w:rFonts w:ascii="Calibri" w:hAnsi="Calibri" w:cs="Calibri"/>
                <w:lang w:val="en"/>
              </w:rPr>
            </w:pPr>
            <w:r w:rsidRPr="00E9021F">
              <w:rPr>
                <w:rFonts w:ascii="Calibri" w:hAnsi="Calibri" w:cs="Calibri"/>
                <w:lang w:val="en"/>
              </w:rPr>
              <w:t xml:space="preserve">III. Engineering </w:t>
            </w:r>
            <w:proofErr w:type="gramStart"/>
            <w:r w:rsidRPr="00E9021F">
              <w:rPr>
                <w:rFonts w:ascii="Calibri" w:hAnsi="Calibri" w:cs="Calibri"/>
                <w:lang w:val="en"/>
              </w:rPr>
              <w:t>calculations;</w:t>
            </w:r>
            <w:proofErr w:type="gramEnd"/>
          </w:p>
          <w:p w14:paraId="5DEFB337" w14:textId="77777777" w:rsidR="00E9021F" w:rsidRPr="00E9021F" w:rsidRDefault="00E9021F" w:rsidP="00E9021F">
            <w:pPr>
              <w:rPr>
                <w:rFonts w:ascii="Calibri" w:hAnsi="Calibri" w:cs="Calibri"/>
                <w:lang w:val="en"/>
              </w:rPr>
            </w:pPr>
            <w:r w:rsidRPr="00E9021F">
              <w:rPr>
                <w:rFonts w:ascii="Calibri" w:hAnsi="Calibri" w:cs="Calibri"/>
                <w:lang w:val="en"/>
              </w:rPr>
              <w:t xml:space="preserve">IV. Equipment emission factors established by the </w:t>
            </w:r>
            <w:proofErr w:type="gramStart"/>
            <w:r w:rsidRPr="00E9021F">
              <w:rPr>
                <w:rFonts w:ascii="Calibri" w:hAnsi="Calibri" w:cs="Calibri"/>
                <w:lang w:val="en"/>
              </w:rPr>
              <w:t>manufacturer;</w:t>
            </w:r>
            <w:proofErr w:type="gramEnd"/>
          </w:p>
          <w:p w14:paraId="4FBB3C57" w14:textId="77777777" w:rsidR="00E9021F" w:rsidRPr="00E9021F" w:rsidRDefault="00E9021F" w:rsidP="00E9021F">
            <w:pPr>
              <w:rPr>
                <w:rFonts w:ascii="Calibri" w:hAnsi="Calibri" w:cs="Calibri"/>
                <w:lang w:val="en"/>
              </w:rPr>
            </w:pPr>
            <w:r w:rsidRPr="00E9021F">
              <w:rPr>
                <w:rFonts w:ascii="Calibri" w:hAnsi="Calibri" w:cs="Calibri"/>
                <w:lang w:val="en"/>
              </w:rPr>
              <w:t>V. Emission factors established by the Intergovernmental Panel on Climate Change (IPCC</w:t>
            </w:r>
            <w:proofErr w:type="gramStart"/>
            <w:r w:rsidRPr="00E9021F">
              <w:rPr>
                <w:rFonts w:ascii="Calibri" w:hAnsi="Calibri" w:cs="Calibri"/>
                <w:lang w:val="en"/>
              </w:rPr>
              <w:t>);</w:t>
            </w:r>
            <w:proofErr w:type="gramEnd"/>
          </w:p>
          <w:p w14:paraId="5D06BD01" w14:textId="3E799F09" w:rsidR="00E9021F" w:rsidRPr="00E9021F" w:rsidRDefault="00E9021F" w:rsidP="00E9021F">
            <w:pPr>
              <w:rPr>
                <w:rFonts w:ascii="Calibri" w:hAnsi="Calibri" w:cs="Calibri"/>
                <w:lang w:val="en"/>
              </w:rPr>
            </w:pPr>
            <w:r w:rsidRPr="00E9021F">
              <w:rPr>
                <w:rFonts w:ascii="Calibri" w:hAnsi="Calibri" w:cs="Calibri"/>
                <w:lang w:val="en"/>
              </w:rPr>
              <w:t>VI. "AP-42: Compilation of Air Pollutant Emission Factors" of the United States Environmental Protection Agency; and</w:t>
            </w:r>
          </w:p>
          <w:p w14:paraId="0042892A" w14:textId="77777777" w:rsidR="00E9021F" w:rsidRDefault="00E9021F" w:rsidP="00C37D48">
            <w:pPr>
              <w:rPr>
                <w:rFonts w:ascii="Calibri" w:hAnsi="Calibri" w:cs="Calibri"/>
                <w:lang w:val="en"/>
              </w:rPr>
            </w:pPr>
            <w:r w:rsidRPr="00E9021F">
              <w:rPr>
                <w:rFonts w:ascii="Calibri" w:hAnsi="Calibri" w:cs="Calibri"/>
                <w:lang w:val="en"/>
              </w:rPr>
              <w:t>VII. Country-specific or equipment- and/or component-specific emission factors.</w:t>
            </w:r>
          </w:p>
          <w:p w14:paraId="006DB7B0" w14:textId="5D3017DF" w:rsidR="00E9021F" w:rsidRPr="00E9021F" w:rsidRDefault="00E9021F" w:rsidP="00E9021F">
            <w:pPr>
              <w:rPr>
                <w:rFonts w:ascii="Calibri" w:hAnsi="Calibri" w:cs="Calibri"/>
                <w:lang w:val="en-US"/>
              </w:rPr>
            </w:pPr>
            <w:r>
              <w:rPr>
                <w:rFonts w:ascii="Calibri" w:hAnsi="Calibri" w:cs="Calibri"/>
                <w:lang w:val="en"/>
              </w:rPr>
              <w:t>Article 27 provides that Regulated entities shall establish an integral target for methane emissions reduction. To comply with this obligation, t</w:t>
            </w:r>
            <w:r w:rsidRPr="00E9021F">
              <w:rPr>
                <w:rFonts w:ascii="Calibri" w:hAnsi="Calibri" w:cs="Calibri"/>
                <w:lang w:val="en"/>
              </w:rPr>
              <w:t>hey will attach to the PPCIEM</w:t>
            </w:r>
            <w:r>
              <w:rPr>
                <w:rFonts w:ascii="Calibri" w:hAnsi="Calibri" w:cs="Calibri"/>
                <w:lang w:val="en"/>
              </w:rPr>
              <w:t xml:space="preserve"> program</w:t>
            </w:r>
            <w:r w:rsidRPr="00E9021F">
              <w:rPr>
                <w:rFonts w:ascii="Calibri" w:hAnsi="Calibri" w:cs="Calibri"/>
                <w:lang w:val="en"/>
              </w:rPr>
              <w:t xml:space="preserve"> a detailed technical justification which</w:t>
            </w:r>
            <w:r>
              <w:rPr>
                <w:rFonts w:ascii="Calibri" w:hAnsi="Calibri" w:cs="Calibri"/>
                <w:lang w:val="en"/>
              </w:rPr>
              <w:t xml:space="preserve"> </w:t>
            </w:r>
            <w:r w:rsidRPr="00E9021F">
              <w:rPr>
                <w:rFonts w:ascii="Calibri" w:hAnsi="Calibri" w:cs="Calibri"/>
                <w:lang w:val="en"/>
              </w:rPr>
              <w:t>will be ruled on by an Authorized Third Party.</w:t>
            </w:r>
          </w:p>
          <w:p w14:paraId="5E31BCF6" w14:textId="0C2C8760" w:rsidR="00E9021F" w:rsidRPr="00E9021F" w:rsidRDefault="00E9021F" w:rsidP="00C37D48">
            <w:pPr>
              <w:rPr>
                <w:rFonts w:ascii="Calibri" w:hAnsi="Calibri" w:cs="Calibri"/>
                <w:lang w:val="en-US"/>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8410C95" w:rsidR="00850F36" w:rsidRPr="00C37D48" w:rsidRDefault="0063554B"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228C96A2" w:rsidR="00850F36" w:rsidRPr="00C37D48" w:rsidRDefault="0063554B"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067B8AEA" w:rsidR="00850F36" w:rsidRPr="00C37D48" w:rsidRDefault="0063554B"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537E9FB6" w:rsidR="00850F36" w:rsidRPr="00C37D48" w:rsidRDefault="00850F36" w:rsidP="00C37D48">
            <w:pPr>
              <w:rPr>
                <w:rFonts w:ascii="Calibri" w:hAnsi="Calibri" w:cs="Calibri"/>
              </w:rPr>
            </w:pPr>
          </w:p>
        </w:tc>
        <w:tc>
          <w:tcPr>
            <w:tcW w:w="1456" w:type="dxa"/>
            <w:shd w:val="clear" w:color="auto" w:fill="auto"/>
            <w:vAlign w:val="center"/>
          </w:tcPr>
          <w:p w14:paraId="1F1FF9DF" w14:textId="3BC1E787" w:rsidR="00850F36" w:rsidRPr="00C37D48" w:rsidRDefault="0063554B" w:rsidP="00C37D48">
            <w:pPr>
              <w:rPr>
                <w:rFonts w:ascii="Calibri" w:hAnsi="Calibri" w:cs="Calibri"/>
              </w:rPr>
            </w:pPr>
            <w:r>
              <w:rPr>
                <w:rFonts w:ascii="Calibri" w:hAnsi="Calibri" w:cs="Calibri"/>
              </w:rPr>
              <w:t>X</w:t>
            </w: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8DBFACA" w:rsidR="00850F36" w:rsidRPr="00C37D48" w:rsidRDefault="0063554B"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A30DB91" w:rsidR="00850F36" w:rsidRPr="00C37D48" w:rsidRDefault="0063554B"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4F642EC1" w:rsidR="00850F36" w:rsidRPr="00C37D48" w:rsidRDefault="0063554B"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51627D3A" w:rsidR="00850F36" w:rsidRPr="00C37D48" w:rsidRDefault="0063554B"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A6AEF1D" w:rsidR="00850F36" w:rsidRPr="00C37D48" w:rsidRDefault="0063554B"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03640B99" w:rsidR="00850F36" w:rsidRPr="00C37D48" w:rsidRDefault="0063554B"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301D9AD0" w:rsidR="00850F36" w:rsidRPr="00C37D48" w:rsidRDefault="0063554B"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AC8FA2C" w:rsidR="00850F36" w:rsidRPr="00C37D48" w:rsidRDefault="0063554B"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29F7DC08" w:rsidR="00D9431B" w:rsidRPr="00C37D48" w:rsidRDefault="0063554B" w:rsidP="00C37D48">
            <w:pPr>
              <w:rPr>
                <w:rFonts w:ascii="Calibri" w:hAnsi="Calibri" w:cs="Calibri"/>
              </w:rPr>
            </w:pPr>
            <w:r>
              <w:rPr>
                <w:rFonts w:ascii="Calibri" w:hAnsi="Calibri" w:cs="Calibri"/>
              </w:rPr>
              <w:t xml:space="preserve">Article </w:t>
            </w:r>
            <w:r w:rsidR="00AF7023">
              <w:rPr>
                <w:rFonts w:ascii="Calibri" w:hAnsi="Calibri" w:cs="Calibri"/>
              </w:rPr>
              <w:t>18</w:t>
            </w:r>
            <w:r>
              <w:rPr>
                <w:rFonts w:ascii="Calibri" w:hAnsi="Calibri" w:cs="Calibri"/>
              </w:rPr>
              <w:t xml:space="preserve"> provides that regulated entities shall annually quantify their methane emissions production. Article 93 provides that regulated entities shall annually report such quantification of emissions to ASEA as a part of the annual compliance report in relation to the PPCIEM Program</w:t>
            </w:r>
            <w:r w:rsidR="00AF7023">
              <w:rPr>
                <w:rFonts w:ascii="Calibri" w:hAnsi="Calibri" w:cs="Calibri"/>
              </w:rPr>
              <w:t>.</w:t>
            </w:r>
            <w:r>
              <w:rPr>
                <w:rFonts w:ascii="Calibri" w:hAnsi="Calibri" w:cs="Calibri"/>
              </w:rPr>
              <w:t xml:space="preserve">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A04B6C8" w:rsidR="000A1365" w:rsidRPr="00C37D48" w:rsidRDefault="0063554B"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1E4FD02" w:rsidR="00C81DE5" w:rsidRPr="00C37D48" w:rsidRDefault="0063554B"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F6E398" w:rsidR="000A1365" w:rsidRPr="00C37D48" w:rsidRDefault="00AF7023"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06448D8C"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176D58D5" w:rsidR="000A1365" w:rsidRPr="00C37D48" w:rsidRDefault="00AF7023" w:rsidP="00C37D48">
            <w:pPr>
              <w:rPr>
                <w:rFonts w:ascii="Calibri" w:hAnsi="Calibri" w:cs="Calibri"/>
              </w:rPr>
            </w:pPr>
            <w:r>
              <w:rPr>
                <w:rFonts w:ascii="Calibri" w:hAnsi="Calibri" w:cs="Calibri"/>
              </w:rPr>
              <w:t xml:space="preserve">The Dispositions establish that in accordance </w:t>
            </w:r>
            <w:proofErr w:type="gramStart"/>
            <w:r>
              <w:rPr>
                <w:rFonts w:ascii="Calibri" w:hAnsi="Calibri" w:cs="Calibri"/>
              </w:rPr>
              <w:t>to</w:t>
            </w:r>
            <w:proofErr w:type="gramEnd"/>
            <w:r>
              <w:rPr>
                <w:rFonts w:ascii="Calibri" w:hAnsi="Calibri" w:cs="Calibri"/>
              </w:rPr>
              <w:t xml:space="preserve"> Mexico’s international commitments, there is a 40-45% reduction target by 2025.</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61D33754" w:rsidR="000A1365" w:rsidRPr="00C37D48" w:rsidRDefault="0063554B"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8F5A40A" w:rsidR="000A1365" w:rsidRPr="00C37D48" w:rsidRDefault="00AF7023"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62A30A78" w:rsidR="000A1365" w:rsidRPr="00C37D48" w:rsidRDefault="00AF7023"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23D57A95" w:rsidR="000A1365" w:rsidRPr="00C37D48" w:rsidRDefault="00AF7023" w:rsidP="00C37D48">
            <w:pPr>
              <w:rPr>
                <w:rFonts w:ascii="Calibri" w:hAnsi="Calibri" w:cs="Calibri"/>
              </w:rPr>
            </w:pPr>
            <w:r>
              <w:rPr>
                <w:rFonts w:ascii="Calibri" w:hAnsi="Calibri" w:cs="Calibri"/>
              </w:rPr>
              <w:t>X</w:t>
            </w: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FCC6990" w:rsidR="00D9431B" w:rsidRPr="00C37D48" w:rsidRDefault="00AF7023"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E619C7" w:rsidR="00D9431B" w:rsidRPr="00C37D48" w:rsidRDefault="00AF7023" w:rsidP="00C37D48">
            <w:pPr>
              <w:rPr>
                <w:rFonts w:ascii="Calibri" w:hAnsi="Calibri" w:cs="Calibri"/>
              </w:rPr>
            </w:pPr>
            <w:r>
              <w:rPr>
                <w:rFonts w:ascii="Calibri" w:hAnsi="Calibri" w:cs="Calibri"/>
              </w:rPr>
              <w:t>Article 3 of the Dispositions provides that the first year in which a Regulated Entity quantifies its methane emissions shall be considered its baseline year.</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177CCD2" w:rsidR="00890032" w:rsidRPr="00C37D48" w:rsidRDefault="00AF7023"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BF972EC" w:rsidR="00B610C2" w:rsidRPr="00610F28" w:rsidRDefault="00AF7023"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BBAB163" w:rsidR="00B610C2" w:rsidRPr="00610F28" w:rsidRDefault="00AF7023"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433DAF0" w:rsidR="00B610C2" w:rsidRPr="00610F28" w:rsidRDefault="00AF7023"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462F6F7" w:rsidR="00B610C2" w:rsidRPr="00610F28" w:rsidRDefault="00AF7023"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3A92A0A" w:rsidR="00B610C2" w:rsidRPr="00610F28" w:rsidRDefault="00AF7023"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BBE7FFA" w:rsidR="00B610C2" w:rsidRPr="00610F28" w:rsidRDefault="00AF7023"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6405217" w:rsidR="00B610C2" w:rsidRPr="00610F28" w:rsidRDefault="00AF7023"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C9A2602" w:rsidR="00B610C2" w:rsidRPr="00610F28" w:rsidRDefault="00AF7023"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0B0D28D" w:rsidR="00B610C2" w:rsidRPr="00610F28" w:rsidRDefault="00AF7023"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A8A2B11" w:rsidR="00B610C2" w:rsidRPr="00610F28" w:rsidRDefault="00AF7023"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1A2D55C" w:rsidR="002F0752" w:rsidRPr="00CF2E7C" w:rsidRDefault="00AF7023"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EE00E61" w:rsidR="002F0752" w:rsidRPr="00CF2E7C" w:rsidRDefault="00AF7023"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4945EB4" w:rsidR="002F0752" w:rsidRPr="00CF2E7C" w:rsidRDefault="00AF7023"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B01F377" w:rsidR="002F0752" w:rsidRPr="00CF2E7C" w:rsidRDefault="00AF7023"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64E5C810" w:rsidR="002F0752" w:rsidRPr="00CF2E7C" w:rsidRDefault="00AF7023"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E38F19E" w:rsidR="002F0752" w:rsidRPr="00CF2E7C" w:rsidRDefault="00AF7023"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99A1224" w:rsidR="002F0752" w:rsidRPr="00CF2E7C" w:rsidRDefault="00AF7023"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36B6BD74" w:rsidR="002F0752" w:rsidRPr="00CF2E7C" w:rsidRDefault="00AF7023"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1B8EE4D5" w:rsidR="002F0752" w:rsidRPr="00CF2E7C" w:rsidRDefault="00AF7023"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3ED831D" w:rsidR="002F0752" w:rsidRPr="00CF2E7C" w:rsidRDefault="00AF7023"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35BC8DE1" w:rsidR="002F0752" w:rsidRPr="00CF2E7C" w:rsidRDefault="00AF7023"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B242C18"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D9BBFA4" w:rsidR="002F0752" w:rsidRPr="00CF2E7C" w:rsidRDefault="00AF7023"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B13B451" w:rsidR="002F0752" w:rsidRPr="00CF2E7C" w:rsidRDefault="00AF7023"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DF97B0A" w:rsidR="002F0752" w:rsidRPr="00CF2E7C" w:rsidRDefault="00AF7023"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3CD13FED"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FCE4986" w:rsidR="002F0752" w:rsidRPr="00CF2E7C" w:rsidRDefault="00AF7023"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10EBB025" w:rsidR="002F0752" w:rsidRPr="00AF7023" w:rsidRDefault="00AF7023" w:rsidP="00CF2E7C">
            <w:pPr>
              <w:rPr>
                <w:rFonts w:ascii="Calibri" w:hAnsi="Calibri" w:cs="Calibri"/>
                <w:lang w:val="en-US"/>
              </w:rPr>
            </w:pPr>
            <w:r w:rsidRPr="00AE1AC4">
              <w:rPr>
                <w:rFonts w:ascii="Calibri" w:hAnsi="Calibri" w:cs="Calibri"/>
                <w:lang w:val="en-US"/>
              </w:rPr>
              <w:t>Article 5 of ASEA’s Law pro</w:t>
            </w:r>
            <w:r>
              <w:rPr>
                <w:rFonts w:ascii="Calibri" w:hAnsi="Calibri" w:cs="Calibri"/>
                <w:lang w:val="en-US"/>
              </w:rPr>
              <w:t xml:space="preserve">vides that it has the authority to impose sanctions </w:t>
            </w:r>
            <w:proofErr w:type="gramStart"/>
            <w:r>
              <w:rPr>
                <w:rFonts w:ascii="Calibri" w:hAnsi="Calibri" w:cs="Calibri"/>
                <w:lang w:val="en-US"/>
              </w:rPr>
              <w:t>in</w:t>
            </w:r>
            <w:proofErr w:type="gramEnd"/>
            <w:r>
              <w:rPr>
                <w:rFonts w:ascii="Calibri" w:hAnsi="Calibri" w:cs="Calibri"/>
                <w:lang w:val="en-US"/>
              </w:rPr>
              <w:t xml:space="preserve"> </w:t>
            </w:r>
            <w:r w:rsidRPr="00AE1AC4">
              <w:rPr>
                <w:rFonts w:ascii="Calibri" w:hAnsi="Calibri" w:cs="Calibri"/>
                <w:lang w:val="en"/>
              </w:rPr>
              <w:t xml:space="preserve">matters </w:t>
            </w:r>
            <w:r>
              <w:rPr>
                <w:rFonts w:ascii="Calibri" w:hAnsi="Calibri" w:cs="Calibri"/>
                <w:lang w:val="en"/>
              </w:rPr>
              <w:t>pertaining</w:t>
            </w:r>
            <w:r w:rsidRPr="00AE1AC4">
              <w:rPr>
                <w:rFonts w:ascii="Calibri" w:hAnsi="Calibri" w:cs="Calibri"/>
                <w:lang w:val="en"/>
              </w:rPr>
              <w:t xml:space="preserve"> to Industrial Safety, Operational Safety, and environmental protection, in relation to the</w:t>
            </w:r>
            <w:r>
              <w:rPr>
                <w:rFonts w:ascii="Calibri" w:hAnsi="Calibri" w:cs="Calibri"/>
                <w:lang w:val="en"/>
              </w:rPr>
              <w:t xml:space="preserve"> Hydrocarbons</w:t>
            </w:r>
            <w:r w:rsidRPr="00AE1AC4">
              <w:rPr>
                <w:rFonts w:ascii="Calibri" w:hAnsi="Calibri" w:cs="Calibri"/>
                <w:lang w:val="en"/>
              </w:rPr>
              <w:t xml:space="preserve"> Sector's activities</w:t>
            </w:r>
            <w:r>
              <w:rPr>
                <w:rFonts w:ascii="Calibri" w:hAnsi="Calibri" w:cs="Calibri"/>
                <w:lang w:val="en"/>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367DDFB"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12BBA62D" w:rsidR="002F0752" w:rsidRPr="00CF2E7C" w:rsidRDefault="00B94051"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682D16"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3E3114" w14:textId="77777777" w:rsidR="002F0752" w:rsidRDefault="00B94051" w:rsidP="00B94051">
            <w:pPr>
              <w:rPr>
                <w:rFonts w:ascii="Calibri" w:hAnsi="Calibri" w:cs="Calibri"/>
              </w:rPr>
            </w:pPr>
            <w:r w:rsidRPr="00B94051">
              <w:rPr>
                <w:rFonts w:ascii="Calibri" w:hAnsi="Calibri" w:cs="Calibri"/>
              </w:rPr>
              <w:t xml:space="preserve">In May 2025, the Supreme Court of Justice of the Nation (SCJN) unanimously ordered that Pemex </w:t>
            </w:r>
            <w:proofErr w:type="spellStart"/>
            <w:r w:rsidRPr="00B94051">
              <w:rPr>
                <w:rFonts w:ascii="Calibri" w:hAnsi="Calibri" w:cs="Calibri"/>
              </w:rPr>
              <w:t>Logística</w:t>
            </w:r>
            <w:proofErr w:type="spellEnd"/>
            <w:r w:rsidRPr="00B94051">
              <w:rPr>
                <w:rFonts w:ascii="Calibri" w:hAnsi="Calibri" w:cs="Calibri"/>
              </w:rPr>
              <w:t xml:space="preserve"> must publicly disclose its detailed methane emissions data — by well, component, or equipment, expressed in grams, kilograms, or tons — classifying it as environmental information of public interest, and making it clear that such data is not subject to national security classification or industrial secrecy.</w:t>
            </w:r>
          </w:p>
          <w:p w14:paraId="6276A9D2" w14:textId="77777777" w:rsidR="00B94051" w:rsidRDefault="00B94051" w:rsidP="00B94051">
            <w:pPr>
              <w:rPr>
                <w:rFonts w:ascii="Calibri" w:hAnsi="Calibri" w:cs="Calibri"/>
              </w:rPr>
            </w:pPr>
          </w:p>
          <w:p w14:paraId="66CEA73B" w14:textId="543A9286" w:rsidR="00B94051" w:rsidRPr="00682D16" w:rsidRDefault="00682D16" w:rsidP="00B94051">
            <w:pPr>
              <w:rPr>
                <w:rFonts w:ascii="Calibri" w:hAnsi="Calibri" w:cs="Calibri"/>
                <w:lang w:val="es-ES"/>
              </w:rPr>
            </w:pPr>
            <w:hyperlink r:id="rId21" w:history="1">
              <w:r w:rsidRPr="00682D16">
                <w:rPr>
                  <w:rStyle w:val="Hyperlink"/>
                  <w:lang w:val="es-ES"/>
                </w:rPr>
                <w:t>Suprema Corte ordena a Pemex transparentar cifras sobre emisiones</w:t>
              </w:r>
            </w:hyperlink>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6F62B655" w:rsidR="002F0752" w:rsidRPr="00CF2E7C" w:rsidRDefault="00AF7023"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38F9C880" w:rsidR="002F0752" w:rsidRPr="00CF2E7C" w:rsidRDefault="00AF7023" w:rsidP="00CF2E7C">
            <w:pPr>
              <w:rPr>
                <w:rFonts w:ascii="Calibri" w:hAnsi="Calibri" w:cs="Calibri"/>
              </w:rPr>
            </w:pPr>
            <w:r>
              <w:rPr>
                <w:rFonts w:ascii="Calibri" w:hAnsi="Calibri" w:cs="Calibri"/>
              </w:rPr>
              <w:t>X</w:t>
            </w: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12375C5A"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0DEA29D" w:rsidR="002F0752" w:rsidRPr="00CF2E7C" w:rsidRDefault="00AF7023"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85A9218" w:rsidR="002F0752" w:rsidRPr="00CF2E7C" w:rsidRDefault="00AF7023" w:rsidP="00CF2E7C">
            <w:pPr>
              <w:rPr>
                <w:rFonts w:ascii="Calibri" w:hAnsi="Calibri" w:cs="Calibri"/>
              </w:rPr>
            </w:pPr>
            <w:r>
              <w:rPr>
                <w:rFonts w:ascii="Calibri" w:hAnsi="Calibri" w:cs="Calibri"/>
              </w:rPr>
              <w:t xml:space="preserve">Each </w:t>
            </w:r>
            <w:r w:rsidR="00F66F34">
              <w:rPr>
                <w:rFonts w:ascii="Calibri" w:hAnsi="Calibri" w:cs="Calibri"/>
              </w:rPr>
              <w:t>Regulated Entity shall consider the first year that quantifies its methane emissions as its baseline year (article 3).</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45A38A0B" w:rsidR="002F0752" w:rsidRPr="00CF2E7C" w:rsidRDefault="00F66F34"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40C9AE33" w:rsidR="002F0752" w:rsidRPr="00CF2E7C" w:rsidRDefault="00F66F34" w:rsidP="00CF2E7C">
            <w:pPr>
              <w:rPr>
                <w:rFonts w:ascii="Calibri" w:hAnsi="Calibri" w:cs="Calibri"/>
              </w:rPr>
            </w:pPr>
            <w:r>
              <w:rPr>
                <w:rFonts w:ascii="Calibri" w:hAnsi="Calibri" w:cs="Calibri"/>
              </w:rPr>
              <w:t>40-45% Methane Emissions reduction by 2025</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ED97F39" w:rsidR="002F0752" w:rsidRPr="00CF2E7C" w:rsidRDefault="00F66F34"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8F2A06D" w:rsidR="002F0752" w:rsidRPr="33822AF7" w:rsidRDefault="00F66F3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F012CAB" w:rsidR="002F0752" w:rsidRPr="33822AF7" w:rsidRDefault="00F66F3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6B1B895D"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12AB5737"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 xml:space="preserve">It requires the application of the Official Mexican Norm (mandatory technical standard) </w:t>
            </w:r>
            <w:r w:rsidRPr="00F66F34">
              <w:rPr>
                <w:rFonts w:ascii="Calibri" w:eastAsia="Calibri" w:hAnsi="Calibri" w:cs="Calibri"/>
                <w:color w:val="000000" w:themeColor="text1"/>
              </w:rPr>
              <w:t>NOM-003-ASEA-2016</w:t>
            </w:r>
            <w:r>
              <w:rPr>
                <w:rFonts w:ascii="Calibri" w:eastAsia="Calibri" w:hAnsi="Calibri" w:cs="Calibri"/>
                <w:color w:val="000000" w:themeColor="text1"/>
              </w:rPr>
              <w:t xml:space="preserve"> (article 72).</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1C95E973"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3E299407"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6D99B33C"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5C20B3AC"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3C7DF843"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7A9F8BB"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EB80855"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5247C05"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3B6AF2B"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26AFF47"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1DD02DF9"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56806181"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4D5232DB"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629669C"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6575E0A3"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637A853" w:rsidR="002F0752" w:rsidRPr="00CF2E7C" w:rsidRDefault="00F66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7A8F5F1" w14:textId="6C32F257" w:rsidR="002F0752" w:rsidRDefault="00F66F34" w:rsidP="00F66F34">
            <w:pPr>
              <w:pStyle w:val="ListParagraph"/>
              <w:numPr>
                <w:ilvl w:val="0"/>
                <w:numId w:val="49"/>
              </w:numPr>
              <w:rPr>
                <w:rFonts w:ascii="Calibri" w:eastAsia="Calibri" w:hAnsi="Calibri" w:cs="Calibri"/>
                <w:color w:val="000000" w:themeColor="text1"/>
              </w:rPr>
            </w:pPr>
            <w:r>
              <w:rPr>
                <w:rFonts w:ascii="Calibri" w:eastAsia="Calibri" w:hAnsi="Calibri" w:cs="Calibri"/>
                <w:color w:val="000000" w:themeColor="text1"/>
              </w:rPr>
              <w:t xml:space="preserve">15 natural days for leaks that amount from </w:t>
            </w:r>
            <w:r w:rsidRPr="00F66F34">
              <w:rPr>
                <w:rFonts w:ascii="Calibri" w:eastAsia="Calibri" w:hAnsi="Calibri" w:cs="Calibri"/>
                <w:color w:val="000000" w:themeColor="text1"/>
              </w:rPr>
              <w:t>500â9</w:t>
            </w:r>
            <w:r>
              <w:rPr>
                <w:rFonts w:ascii="Calibri" w:eastAsia="Calibri" w:hAnsi="Calibri" w:cs="Calibri"/>
                <w:color w:val="000000" w:themeColor="text1"/>
              </w:rPr>
              <w:t xml:space="preserve"> to 999 ppm</w:t>
            </w:r>
          </w:p>
          <w:p w14:paraId="0DDFBEF9" w14:textId="0C5AF56C" w:rsidR="00F66F34" w:rsidRDefault="00F66F34" w:rsidP="00F66F34">
            <w:pPr>
              <w:pStyle w:val="ListParagraph"/>
              <w:numPr>
                <w:ilvl w:val="0"/>
                <w:numId w:val="49"/>
              </w:numPr>
              <w:rPr>
                <w:rFonts w:ascii="Calibri" w:eastAsia="Calibri" w:hAnsi="Calibri" w:cs="Calibri"/>
                <w:color w:val="000000" w:themeColor="text1"/>
              </w:rPr>
            </w:pPr>
            <w:r>
              <w:rPr>
                <w:rFonts w:ascii="Calibri" w:eastAsia="Calibri" w:hAnsi="Calibri" w:cs="Calibri"/>
                <w:color w:val="000000" w:themeColor="text1"/>
              </w:rPr>
              <w:t xml:space="preserve">3 natural days for leaks that amount from </w:t>
            </w:r>
            <w:r w:rsidRPr="00F66F34">
              <w:rPr>
                <w:rFonts w:ascii="Calibri" w:eastAsia="Calibri" w:hAnsi="Calibri" w:cs="Calibri"/>
                <w:color w:val="000000" w:themeColor="text1"/>
              </w:rPr>
              <w:t>10 000â49</w:t>
            </w:r>
            <w:r>
              <w:rPr>
                <w:rFonts w:ascii="Calibri" w:eastAsia="Calibri" w:hAnsi="Calibri" w:cs="Calibri"/>
                <w:color w:val="000000" w:themeColor="text1"/>
              </w:rPr>
              <w:t xml:space="preserve"> to 999 ppm</w:t>
            </w:r>
          </w:p>
          <w:p w14:paraId="60B73E37" w14:textId="12EAC043" w:rsidR="00F66F34" w:rsidRPr="00F66F34" w:rsidRDefault="00F66F34" w:rsidP="00F66F34">
            <w:pPr>
              <w:pStyle w:val="ListParagraph"/>
              <w:numPr>
                <w:ilvl w:val="0"/>
                <w:numId w:val="49"/>
              </w:numPr>
              <w:rPr>
                <w:rFonts w:ascii="Calibri" w:eastAsia="Calibri" w:hAnsi="Calibri" w:cs="Calibri"/>
                <w:color w:val="000000" w:themeColor="text1"/>
              </w:rPr>
            </w:pPr>
            <w:r>
              <w:rPr>
                <w:rFonts w:ascii="Calibri" w:eastAsia="Calibri" w:hAnsi="Calibri" w:cs="Calibri"/>
                <w:color w:val="000000" w:themeColor="text1"/>
              </w:rPr>
              <w:t xml:space="preserve">24 hours for leaks that amount from 50 000 ppm or over </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C80372B"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39633AD8"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468CEB6"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2ED53541"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02F5B82"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3D6536E" w:rsidR="002F0752" w:rsidRPr="00CF2E7C" w:rsidRDefault="00765BE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015FEAEC"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7C4220B" w:rsidR="002F0752" w:rsidRPr="00CF2E7C" w:rsidRDefault="00765BE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DA8D77E" w:rsidR="002F0752" w:rsidRPr="00CF2E7C" w:rsidRDefault="00765BE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2EB67217" w:rsidR="002F0752" w:rsidRPr="00CF2E7C" w:rsidRDefault="00765BE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1A5AF6B0" w:rsidR="002F0752" w:rsidRPr="00CF2E7C" w:rsidRDefault="00765BE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2843A004" w:rsidR="002F0752" w:rsidRPr="00CF2E7C" w:rsidRDefault="00765BE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455E941E" w:rsidR="002F0752" w:rsidRPr="00CF2E7C" w:rsidRDefault="00765BE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865147F"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8D01E8F"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331264C"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F96FCFD"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30DD8E5F"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F8505C9" w14:textId="1C52D5B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6FAB8AA" w:rsidR="002F0752" w:rsidRPr="00CF2E7C" w:rsidRDefault="00765BE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DAD1A66" w14:textId="77777777" w:rsidR="002F0752" w:rsidRDefault="00765BE6" w:rsidP="00CF2E7C">
            <w:pPr>
              <w:rPr>
                <w:rFonts w:ascii="Calibri" w:eastAsia="Calibri" w:hAnsi="Calibri" w:cs="Calibri"/>
                <w:color w:val="000000" w:themeColor="text1"/>
              </w:rPr>
            </w:pPr>
            <w:r>
              <w:rPr>
                <w:rFonts w:ascii="Calibri" w:eastAsia="Calibri" w:hAnsi="Calibri" w:cs="Calibri"/>
                <w:color w:val="000000" w:themeColor="text1"/>
              </w:rPr>
              <w:t>Article 66 requires Regulated Entities to implement at least one of the following techniques for liquid discharge from wells, with the purpose of minimizing methane emissions into the atmosphere:</w:t>
            </w:r>
          </w:p>
          <w:p w14:paraId="040ECB6E" w14:textId="77777777" w:rsidR="0014706F" w:rsidRPr="0014706F" w:rsidRDefault="0014706F" w:rsidP="0014706F">
            <w:pPr>
              <w:rPr>
                <w:rFonts w:ascii="Calibri" w:eastAsia="Calibri" w:hAnsi="Calibri" w:cs="Calibri"/>
                <w:color w:val="000000" w:themeColor="text1"/>
                <w:lang w:val="en"/>
              </w:rPr>
            </w:pPr>
            <w:r w:rsidRPr="0014706F">
              <w:rPr>
                <w:rFonts w:ascii="Calibri" w:eastAsia="Calibri" w:hAnsi="Calibri" w:cs="Calibri"/>
                <w:color w:val="000000" w:themeColor="text1"/>
                <w:lang w:val="en"/>
              </w:rPr>
              <w:t xml:space="preserve">I. Velocity </w:t>
            </w:r>
            <w:proofErr w:type="gramStart"/>
            <w:r w:rsidRPr="0014706F">
              <w:rPr>
                <w:rFonts w:ascii="Calibri" w:eastAsia="Calibri" w:hAnsi="Calibri" w:cs="Calibri"/>
                <w:color w:val="000000" w:themeColor="text1"/>
                <w:lang w:val="en"/>
              </w:rPr>
              <w:t>string;</w:t>
            </w:r>
            <w:proofErr w:type="gramEnd"/>
          </w:p>
          <w:p w14:paraId="469EF388" w14:textId="77777777" w:rsidR="0014706F" w:rsidRPr="0014706F" w:rsidRDefault="0014706F" w:rsidP="0014706F">
            <w:pPr>
              <w:rPr>
                <w:rFonts w:ascii="Calibri" w:eastAsia="Calibri" w:hAnsi="Calibri" w:cs="Calibri"/>
                <w:color w:val="000000" w:themeColor="text1"/>
                <w:lang w:val="en"/>
              </w:rPr>
            </w:pPr>
            <w:r w:rsidRPr="0014706F">
              <w:rPr>
                <w:rFonts w:ascii="Calibri" w:eastAsia="Calibri" w:hAnsi="Calibri" w:cs="Calibri"/>
                <w:color w:val="000000" w:themeColor="text1"/>
                <w:lang w:val="en"/>
              </w:rPr>
              <w:t xml:space="preserve">II. Froth </w:t>
            </w:r>
            <w:proofErr w:type="gramStart"/>
            <w:r w:rsidRPr="0014706F">
              <w:rPr>
                <w:rFonts w:ascii="Calibri" w:eastAsia="Calibri" w:hAnsi="Calibri" w:cs="Calibri"/>
                <w:color w:val="000000" w:themeColor="text1"/>
                <w:lang w:val="en"/>
              </w:rPr>
              <w:t>rods;</w:t>
            </w:r>
            <w:proofErr w:type="gramEnd"/>
          </w:p>
          <w:p w14:paraId="5AF18790" w14:textId="77777777" w:rsidR="0014706F" w:rsidRPr="0014706F" w:rsidRDefault="0014706F" w:rsidP="0014706F">
            <w:pPr>
              <w:rPr>
                <w:rFonts w:ascii="Calibri" w:eastAsia="Calibri" w:hAnsi="Calibri" w:cs="Calibri"/>
                <w:color w:val="000000" w:themeColor="text1"/>
                <w:lang w:val="en"/>
              </w:rPr>
            </w:pPr>
            <w:r w:rsidRPr="0014706F">
              <w:rPr>
                <w:rFonts w:ascii="Calibri" w:eastAsia="Calibri" w:hAnsi="Calibri" w:cs="Calibri"/>
                <w:color w:val="000000" w:themeColor="text1"/>
                <w:lang w:val="en"/>
              </w:rPr>
              <w:t xml:space="preserve">III. Traveling </w:t>
            </w:r>
            <w:proofErr w:type="gramStart"/>
            <w:r w:rsidRPr="0014706F">
              <w:rPr>
                <w:rFonts w:ascii="Calibri" w:eastAsia="Calibri" w:hAnsi="Calibri" w:cs="Calibri"/>
                <w:color w:val="000000" w:themeColor="text1"/>
                <w:lang w:val="en"/>
              </w:rPr>
              <w:t>plunger;</w:t>
            </w:r>
            <w:proofErr w:type="gramEnd"/>
          </w:p>
          <w:p w14:paraId="7EEA935F" w14:textId="77777777" w:rsidR="0014706F" w:rsidRPr="0014706F" w:rsidRDefault="0014706F" w:rsidP="0014706F">
            <w:pPr>
              <w:rPr>
                <w:rFonts w:ascii="Calibri" w:eastAsia="Calibri" w:hAnsi="Calibri" w:cs="Calibri"/>
                <w:color w:val="000000" w:themeColor="text1"/>
                <w:lang w:val="en"/>
              </w:rPr>
            </w:pPr>
            <w:r w:rsidRPr="0014706F">
              <w:rPr>
                <w:rFonts w:ascii="Calibri" w:eastAsia="Calibri" w:hAnsi="Calibri" w:cs="Calibri"/>
                <w:color w:val="000000" w:themeColor="text1"/>
                <w:lang w:val="en"/>
              </w:rPr>
              <w:t>IV. Surface pumping; and</w:t>
            </w:r>
          </w:p>
          <w:p w14:paraId="78AA723E" w14:textId="7A2A3015" w:rsidR="00765BE6" w:rsidRPr="00B94051" w:rsidRDefault="0014706F" w:rsidP="00CF2E7C">
            <w:pPr>
              <w:rPr>
                <w:rFonts w:ascii="Calibri" w:eastAsia="Calibri" w:hAnsi="Calibri" w:cs="Calibri"/>
                <w:color w:val="000000" w:themeColor="text1"/>
                <w:lang w:val="en-US"/>
              </w:rPr>
            </w:pPr>
            <w:r w:rsidRPr="0014706F">
              <w:rPr>
                <w:rFonts w:ascii="Calibri" w:eastAsia="Calibri" w:hAnsi="Calibri" w:cs="Calibri"/>
                <w:color w:val="000000" w:themeColor="text1"/>
                <w:lang w:val="en"/>
              </w:rPr>
              <w:t>V. Downhole pumping.</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F838BB8" w:rsidR="002F0752" w:rsidRPr="00CF2E7C" w:rsidRDefault="001470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493E697" w:rsidR="002F0752" w:rsidRPr="00CF2E7C" w:rsidRDefault="001470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901F30B" w:rsidR="002F0752" w:rsidRPr="00CF2E7C" w:rsidRDefault="001470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AD5ABB6" w:rsidR="002F0752" w:rsidRPr="00CF2E7C" w:rsidRDefault="001470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229403C" w:rsidR="002F0752" w:rsidRPr="00CF2E7C" w:rsidRDefault="001470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391EC7B" w:rsidR="002F0752" w:rsidRPr="00CF2E7C" w:rsidRDefault="001470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1029E462" w:rsidR="002F0752" w:rsidRPr="00CF2E7C" w:rsidRDefault="001470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22B48D4" w:rsidR="002F0752" w:rsidRPr="00CF2E7C" w:rsidRDefault="0014706F"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4195B150" w:rsidR="002F0752" w:rsidRPr="00CF2E7C" w:rsidRDefault="0014706F"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26C0266A" w:rsidR="002F0752" w:rsidRPr="00CF2E7C" w:rsidRDefault="0014706F" w:rsidP="00CF2E7C">
            <w:pPr>
              <w:rPr>
                <w:rFonts w:ascii="Calibri" w:hAnsi="Calibri" w:cs="Calibri"/>
              </w:rPr>
            </w:pPr>
            <w:r>
              <w:rPr>
                <w:rFonts w:ascii="Calibri" w:hAnsi="Calibri" w:cs="Calibri"/>
              </w:rPr>
              <w:t>X</w:t>
            </w: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1F4240BA" w:rsidR="002F0752" w:rsidRPr="00CF2E7C" w:rsidRDefault="0014706F" w:rsidP="00CF2E7C">
            <w:pPr>
              <w:rPr>
                <w:rFonts w:ascii="Calibri" w:hAnsi="Calibri" w:cs="Calibri"/>
              </w:rPr>
            </w:pPr>
            <w:r>
              <w:rPr>
                <w:rFonts w:ascii="Calibri" w:hAnsi="Calibri" w:cs="Calibri"/>
              </w:rPr>
              <w:t>Articles 45 and 46 require emission capture, however, they do not provide a standard for doing so.</w:t>
            </w: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4BB9D79E"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3919D25"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44658A0"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9C2D734" w:rsidR="002F0752" w:rsidRPr="00CF2E7C" w:rsidRDefault="0014706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2C6C114"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4CBE5B8B"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DCAB1A6"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3E697BC"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057B5E7"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FEA3801"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7737D71"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4A0344B"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102C55D"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325A4964"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40DF217"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60D2C74"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26F3EA7"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0C33E5A"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D3BA038"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37E648C"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2E41E49"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746A9EAC" w:rsidR="002F0752" w:rsidRPr="00CF2E7C" w:rsidRDefault="0014706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4D10E5" w14:textId="7E2FD9EF" w:rsidR="002F0752" w:rsidRDefault="0014706F" w:rsidP="00CF2E7C">
            <w:pPr>
              <w:rPr>
                <w:rFonts w:ascii="Calibri" w:hAnsi="Calibri" w:cs="Calibri"/>
              </w:rPr>
            </w:pPr>
            <w:r>
              <w:rPr>
                <w:rFonts w:ascii="Calibri" w:hAnsi="Calibri" w:cs="Calibri"/>
              </w:rPr>
              <w:t>Official Mexican Norms provided for in article 71:</w:t>
            </w:r>
          </w:p>
          <w:p w14:paraId="35155D07" w14:textId="2C853CAD" w:rsidR="0014706F" w:rsidRDefault="0014706F" w:rsidP="0014706F">
            <w:pPr>
              <w:pStyle w:val="ListParagraph"/>
              <w:numPr>
                <w:ilvl w:val="0"/>
                <w:numId w:val="51"/>
              </w:numPr>
              <w:rPr>
                <w:rFonts w:ascii="Calibri" w:hAnsi="Calibri" w:cs="Calibri"/>
              </w:rPr>
            </w:pPr>
            <w:r w:rsidRPr="0014706F">
              <w:rPr>
                <w:rFonts w:ascii="Calibri" w:hAnsi="Calibri" w:cs="Calibri"/>
              </w:rPr>
              <w:t>NOM-007-ASEA-201</w:t>
            </w:r>
            <w:r>
              <w:rPr>
                <w:rFonts w:ascii="Calibri" w:hAnsi="Calibri" w:cs="Calibri"/>
              </w:rPr>
              <w:t>, for transport of natural gas, ethanol and coal associated gas</w:t>
            </w:r>
          </w:p>
          <w:p w14:paraId="216F1CD0" w14:textId="085D6329" w:rsidR="0014706F" w:rsidRPr="0014706F" w:rsidRDefault="0014706F" w:rsidP="0014706F">
            <w:pPr>
              <w:pStyle w:val="ListParagraph"/>
              <w:numPr>
                <w:ilvl w:val="0"/>
                <w:numId w:val="51"/>
              </w:numPr>
              <w:rPr>
                <w:rFonts w:ascii="Calibri" w:hAnsi="Calibri" w:cs="Calibri"/>
              </w:rPr>
            </w:pPr>
            <w:r w:rsidRPr="0014706F">
              <w:rPr>
                <w:rFonts w:ascii="Calibri" w:hAnsi="Calibri" w:cs="Calibri"/>
              </w:rPr>
              <w:t>NOM-003-ASEA-2016</w:t>
            </w:r>
            <w:r>
              <w:rPr>
                <w:rFonts w:ascii="Calibri" w:hAnsi="Calibri" w:cs="Calibri"/>
              </w:rPr>
              <w:t>, for distribution of natural gas y liquified gas</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CDAB53" w14:textId="77777777" w:rsidR="00E71B06" w:rsidRDefault="00E71B06" w:rsidP="00874E39">
      <w:r>
        <w:separator/>
      </w:r>
    </w:p>
  </w:endnote>
  <w:endnote w:type="continuationSeparator" w:id="0">
    <w:p w14:paraId="344E7A4C" w14:textId="77777777" w:rsidR="00E71B06" w:rsidRDefault="00E71B06" w:rsidP="00874E39">
      <w:r>
        <w:continuationSeparator/>
      </w:r>
    </w:p>
  </w:endnote>
  <w:endnote w:type="continuationNotice" w:id="1">
    <w:p w14:paraId="139BA119" w14:textId="77777777" w:rsidR="00E71B06" w:rsidRDefault="00E71B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3E591B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BED1D4" w14:textId="77777777" w:rsidR="00E71B06" w:rsidRDefault="00E71B06" w:rsidP="00874E39">
      <w:r>
        <w:separator/>
      </w:r>
    </w:p>
  </w:footnote>
  <w:footnote w:type="continuationSeparator" w:id="0">
    <w:p w14:paraId="5E045626" w14:textId="77777777" w:rsidR="00E71B06" w:rsidRDefault="00E71B06" w:rsidP="00874E39">
      <w:r>
        <w:continuationSeparator/>
      </w:r>
    </w:p>
  </w:footnote>
  <w:footnote w:type="continuationNotice" w:id="1">
    <w:p w14:paraId="60D3EBD4" w14:textId="77777777" w:rsidR="00E71B06" w:rsidRDefault="00E71B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5BB74AC"/>
    <w:multiLevelType w:val="hybridMultilevel"/>
    <w:tmpl w:val="7E40BCD0"/>
    <w:lvl w:ilvl="0" w:tplc="18608B10">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690A07"/>
    <w:multiLevelType w:val="hybridMultilevel"/>
    <w:tmpl w:val="6A4C64E0"/>
    <w:lvl w:ilvl="0" w:tplc="E4D8B1C6">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E533B42"/>
    <w:multiLevelType w:val="hybridMultilevel"/>
    <w:tmpl w:val="1630A5A8"/>
    <w:lvl w:ilvl="0" w:tplc="72A247DC">
      <w:start w:val="6"/>
      <w:numFmt w:val="bullet"/>
      <w:lvlText w:val=""/>
      <w:lvlJc w:val="left"/>
      <w:pPr>
        <w:ind w:left="720" w:hanging="360"/>
      </w:pPr>
      <w:rPr>
        <w:rFonts w:ascii="Symbol" w:eastAsiaTheme="minorHAnsi" w:hAnsi="Symbol"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3"/>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206844987">
    <w:abstractNumId w:val="21"/>
  </w:num>
  <w:num w:numId="50" w16cid:durableId="701587683">
    <w:abstractNumId w:val="47"/>
  </w:num>
  <w:num w:numId="51" w16cid:durableId="41490082">
    <w:abstractNumId w:val="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14D"/>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6F"/>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9CE"/>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2D0"/>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54B"/>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D16"/>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BE6"/>
    <w:rsid w:val="0076706A"/>
    <w:rsid w:val="0077017A"/>
    <w:rsid w:val="007710D7"/>
    <w:rsid w:val="00773639"/>
    <w:rsid w:val="00774353"/>
    <w:rsid w:val="00775056"/>
    <w:rsid w:val="007759A9"/>
    <w:rsid w:val="007759EF"/>
    <w:rsid w:val="00775C7B"/>
    <w:rsid w:val="00776F85"/>
    <w:rsid w:val="00777550"/>
    <w:rsid w:val="00777BF4"/>
    <w:rsid w:val="00777E1D"/>
    <w:rsid w:val="007802C6"/>
    <w:rsid w:val="007807DE"/>
    <w:rsid w:val="00782ABB"/>
    <w:rsid w:val="00782B03"/>
    <w:rsid w:val="00783F69"/>
    <w:rsid w:val="007849A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9E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34A"/>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AC4"/>
    <w:rsid w:val="00AE2662"/>
    <w:rsid w:val="00AE3CBD"/>
    <w:rsid w:val="00AE5D21"/>
    <w:rsid w:val="00AE7C5F"/>
    <w:rsid w:val="00AF08A8"/>
    <w:rsid w:val="00AF2019"/>
    <w:rsid w:val="00AF26B7"/>
    <w:rsid w:val="00AF30FD"/>
    <w:rsid w:val="00AF3FC6"/>
    <w:rsid w:val="00AF4B5F"/>
    <w:rsid w:val="00AF5B6E"/>
    <w:rsid w:val="00AF7023"/>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051"/>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57C"/>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D0B"/>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F34"/>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2A6"/>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B06"/>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21F"/>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F34"/>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7849A9"/>
    <w:rPr>
      <w:rFonts w:ascii="Times New Roman" w:hAnsi="Times New Roman" w:cs="Times New Roman"/>
    </w:rPr>
  </w:style>
  <w:style w:type="paragraph" w:styleId="HTMLPreformatted">
    <w:name w:val="HTML Preformatted"/>
    <w:basedOn w:val="Normal"/>
    <w:link w:val="HTMLPreformattedChar"/>
    <w:uiPriority w:val="99"/>
    <w:semiHidden/>
    <w:unhideWhenUsed/>
    <w:rsid w:val="00AE1AC4"/>
    <w:pPr>
      <w:spacing w:before="0" w:after="0"/>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AE1AC4"/>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2273282">
      <w:bodyDiv w:val="1"/>
      <w:marLeft w:val="0"/>
      <w:marRight w:val="0"/>
      <w:marTop w:val="0"/>
      <w:marBottom w:val="0"/>
      <w:divBdr>
        <w:top w:val="none" w:sz="0" w:space="0" w:color="auto"/>
        <w:left w:val="none" w:sz="0" w:space="0" w:color="auto"/>
        <w:bottom w:val="none" w:sz="0" w:space="0" w:color="auto"/>
        <w:right w:val="none" w:sz="0" w:space="0" w:color="auto"/>
      </w:divBdr>
      <w:divsChild>
        <w:div w:id="1476142533">
          <w:marLeft w:val="0"/>
          <w:marRight w:val="0"/>
          <w:marTop w:val="0"/>
          <w:marBottom w:val="0"/>
          <w:divBdr>
            <w:top w:val="none" w:sz="0" w:space="0" w:color="auto"/>
            <w:left w:val="none" w:sz="0" w:space="0" w:color="auto"/>
            <w:bottom w:val="none" w:sz="0" w:space="0" w:color="auto"/>
            <w:right w:val="none" w:sz="0" w:space="0" w:color="auto"/>
          </w:divBdr>
          <w:divsChild>
            <w:div w:id="67965115">
              <w:marLeft w:val="0"/>
              <w:marRight w:val="0"/>
              <w:marTop w:val="0"/>
              <w:marBottom w:val="0"/>
              <w:divBdr>
                <w:top w:val="none" w:sz="0" w:space="0" w:color="auto"/>
                <w:left w:val="none" w:sz="0" w:space="0" w:color="auto"/>
                <w:bottom w:val="none" w:sz="0" w:space="0" w:color="auto"/>
                <w:right w:val="none" w:sz="0" w:space="0" w:color="auto"/>
              </w:divBdr>
              <w:divsChild>
                <w:div w:id="1756316033">
                  <w:marLeft w:val="0"/>
                  <w:marRight w:val="0"/>
                  <w:marTop w:val="0"/>
                  <w:marBottom w:val="0"/>
                  <w:divBdr>
                    <w:top w:val="none" w:sz="0" w:space="0" w:color="auto"/>
                    <w:left w:val="none" w:sz="0" w:space="0" w:color="auto"/>
                    <w:bottom w:val="none" w:sz="0" w:space="0" w:color="auto"/>
                    <w:right w:val="none" w:sz="0" w:space="0" w:color="auto"/>
                  </w:divBdr>
                  <w:divsChild>
                    <w:div w:id="899443906">
                      <w:marLeft w:val="0"/>
                      <w:marRight w:val="0"/>
                      <w:marTop w:val="0"/>
                      <w:marBottom w:val="0"/>
                      <w:divBdr>
                        <w:top w:val="none" w:sz="0" w:space="0" w:color="auto"/>
                        <w:left w:val="none" w:sz="0" w:space="0" w:color="auto"/>
                        <w:bottom w:val="none" w:sz="0" w:space="0" w:color="auto"/>
                        <w:right w:val="none" w:sz="0" w:space="0" w:color="auto"/>
                      </w:divBdr>
                      <w:divsChild>
                        <w:div w:id="1871989580">
                          <w:marLeft w:val="0"/>
                          <w:marRight w:val="0"/>
                          <w:marTop w:val="0"/>
                          <w:marBottom w:val="0"/>
                          <w:divBdr>
                            <w:top w:val="none" w:sz="0" w:space="0" w:color="auto"/>
                            <w:left w:val="none" w:sz="0" w:space="0" w:color="auto"/>
                            <w:bottom w:val="none" w:sz="0" w:space="0" w:color="auto"/>
                            <w:right w:val="none" w:sz="0" w:space="0" w:color="auto"/>
                          </w:divBdr>
                          <w:divsChild>
                            <w:div w:id="1684045762">
                              <w:marLeft w:val="0"/>
                              <w:marRight w:val="0"/>
                              <w:marTop w:val="0"/>
                              <w:marBottom w:val="0"/>
                              <w:divBdr>
                                <w:top w:val="none" w:sz="0" w:space="0" w:color="auto"/>
                                <w:left w:val="none" w:sz="0" w:space="0" w:color="auto"/>
                                <w:bottom w:val="none" w:sz="0" w:space="0" w:color="auto"/>
                                <w:right w:val="none" w:sz="0" w:space="0" w:color="auto"/>
                              </w:divBdr>
                              <w:divsChild>
                                <w:div w:id="369840373">
                                  <w:marLeft w:val="0"/>
                                  <w:marRight w:val="0"/>
                                  <w:marTop w:val="0"/>
                                  <w:marBottom w:val="0"/>
                                  <w:divBdr>
                                    <w:top w:val="none" w:sz="0" w:space="0" w:color="auto"/>
                                    <w:left w:val="none" w:sz="0" w:space="0" w:color="auto"/>
                                    <w:bottom w:val="none" w:sz="0" w:space="0" w:color="auto"/>
                                    <w:right w:val="none" w:sz="0" w:space="0" w:color="auto"/>
                                  </w:divBdr>
                                  <w:divsChild>
                                    <w:div w:id="242689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84772973">
      <w:bodyDiv w:val="1"/>
      <w:marLeft w:val="0"/>
      <w:marRight w:val="0"/>
      <w:marTop w:val="0"/>
      <w:marBottom w:val="0"/>
      <w:divBdr>
        <w:top w:val="none" w:sz="0" w:space="0" w:color="auto"/>
        <w:left w:val="none" w:sz="0" w:space="0" w:color="auto"/>
        <w:bottom w:val="none" w:sz="0" w:space="0" w:color="auto"/>
        <w:right w:val="none" w:sz="0" w:space="0" w:color="auto"/>
      </w:divBdr>
    </w:div>
    <w:div w:id="299921686">
      <w:bodyDiv w:val="1"/>
      <w:marLeft w:val="0"/>
      <w:marRight w:val="0"/>
      <w:marTop w:val="0"/>
      <w:marBottom w:val="0"/>
      <w:divBdr>
        <w:top w:val="none" w:sz="0" w:space="0" w:color="auto"/>
        <w:left w:val="none" w:sz="0" w:space="0" w:color="auto"/>
        <w:bottom w:val="none" w:sz="0" w:space="0" w:color="auto"/>
        <w:right w:val="none" w:sz="0" w:space="0" w:color="auto"/>
      </w:divBdr>
    </w:div>
    <w:div w:id="366296604">
      <w:bodyDiv w:val="1"/>
      <w:marLeft w:val="0"/>
      <w:marRight w:val="0"/>
      <w:marTop w:val="0"/>
      <w:marBottom w:val="0"/>
      <w:divBdr>
        <w:top w:val="none" w:sz="0" w:space="0" w:color="auto"/>
        <w:left w:val="none" w:sz="0" w:space="0" w:color="auto"/>
        <w:bottom w:val="none" w:sz="0" w:space="0" w:color="auto"/>
        <w:right w:val="none" w:sz="0" w:space="0" w:color="auto"/>
      </w:divBdr>
    </w:div>
    <w:div w:id="495848795">
      <w:bodyDiv w:val="1"/>
      <w:marLeft w:val="0"/>
      <w:marRight w:val="0"/>
      <w:marTop w:val="0"/>
      <w:marBottom w:val="0"/>
      <w:divBdr>
        <w:top w:val="none" w:sz="0" w:space="0" w:color="auto"/>
        <w:left w:val="none" w:sz="0" w:space="0" w:color="auto"/>
        <w:bottom w:val="none" w:sz="0" w:space="0" w:color="auto"/>
        <w:right w:val="none" w:sz="0" w:space="0" w:color="auto"/>
      </w:divBdr>
    </w:div>
    <w:div w:id="50779168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2519675">
      <w:bodyDiv w:val="1"/>
      <w:marLeft w:val="0"/>
      <w:marRight w:val="0"/>
      <w:marTop w:val="0"/>
      <w:marBottom w:val="0"/>
      <w:divBdr>
        <w:top w:val="none" w:sz="0" w:space="0" w:color="auto"/>
        <w:left w:val="none" w:sz="0" w:space="0" w:color="auto"/>
        <w:bottom w:val="none" w:sz="0" w:space="0" w:color="auto"/>
        <w:right w:val="none" w:sz="0" w:space="0" w:color="auto"/>
      </w:divBdr>
      <w:divsChild>
        <w:div w:id="2028755001">
          <w:marLeft w:val="0"/>
          <w:marRight w:val="0"/>
          <w:marTop w:val="0"/>
          <w:marBottom w:val="0"/>
          <w:divBdr>
            <w:top w:val="none" w:sz="0" w:space="0" w:color="auto"/>
            <w:left w:val="none" w:sz="0" w:space="0" w:color="auto"/>
            <w:bottom w:val="none" w:sz="0" w:space="0" w:color="auto"/>
            <w:right w:val="none" w:sz="0" w:space="0" w:color="auto"/>
          </w:divBdr>
          <w:divsChild>
            <w:div w:id="1538009461">
              <w:marLeft w:val="0"/>
              <w:marRight w:val="0"/>
              <w:marTop w:val="0"/>
              <w:marBottom w:val="0"/>
              <w:divBdr>
                <w:top w:val="none" w:sz="0" w:space="0" w:color="auto"/>
                <w:left w:val="none" w:sz="0" w:space="0" w:color="auto"/>
                <w:bottom w:val="none" w:sz="0" w:space="0" w:color="auto"/>
                <w:right w:val="none" w:sz="0" w:space="0" w:color="auto"/>
              </w:divBdr>
              <w:divsChild>
                <w:div w:id="956519509">
                  <w:marLeft w:val="0"/>
                  <w:marRight w:val="0"/>
                  <w:marTop w:val="0"/>
                  <w:marBottom w:val="0"/>
                  <w:divBdr>
                    <w:top w:val="none" w:sz="0" w:space="0" w:color="auto"/>
                    <w:left w:val="none" w:sz="0" w:space="0" w:color="auto"/>
                    <w:bottom w:val="none" w:sz="0" w:space="0" w:color="auto"/>
                    <w:right w:val="none" w:sz="0" w:space="0" w:color="auto"/>
                  </w:divBdr>
                  <w:divsChild>
                    <w:div w:id="117113410">
                      <w:marLeft w:val="0"/>
                      <w:marRight w:val="0"/>
                      <w:marTop w:val="0"/>
                      <w:marBottom w:val="0"/>
                      <w:divBdr>
                        <w:top w:val="none" w:sz="0" w:space="0" w:color="auto"/>
                        <w:left w:val="none" w:sz="0" w:space="0" w:color="auto"/>
                        <w:bottom w:val="none" w:sz="0" w:space="0" w:color="auto"/>
                        <w:right w:val="none" w:sz="0" w:space="0" w:color="auto"/>
                      </w:divBdr>
                      <w:divsChild>
                        <w:div w:id="862134861">
                          <w:marLeft w:val="0"/>
                          <w:marRight w:val="0"/>
                          <w:marTop w:val="0"/>
                          <w:marBottom w:val="0"/>
                          <w:divBdr>
                            <w:top w:val="none" w:sz="0" w:space="0" w:color="auto"/>
                            <w:left w:val="none" w:sz="0" w:space="0" w:color="auto"/>
                            <w:bottom w:val="none" w:sz="0" w:space="0" w:color="auto"/>
                            <w:right w:val="none" w:sz="0" w:space="0" w:color="auto"/>
                          </w:divBdr>
                          <w:divsChild>
                            <w:div w:id="2078161245">
                              <w:marLeft w:val="0"/>
                              <w:marRight w:val="0"/>
                              <w:marTop w:val="0"/>
                              <w:marBottom w:val="0"/>
                              <w:divBdr>
                                <w:top w:val="none" w:sz="0" w:space="0" w:color="auto"/>
                                <w:left w:val="none" w:sz="0" w:space="0" w:color="auto"/>
                                <w:bottom w:val="none" w:sz="0" w:space="0" w:color="auto"/>
                                <w:right w:val="none" w:sz="0" w:space="0" w:color="auto"/>
                              </w:divBdr>
                              <w:divsChild>
                                <w:div w:id="1214660392">
                                  <w:marLeft w:val="0"/>
                                  <w:marRight w:val="0"/>
                                  <w:marTop w:val="0"/>
                                  <w:marBottom w:val="0"/>
                                  <w:divBdr>
                                    <w:top w:val="none" w:sz="0" w:space="0" w:color="auto"/>
                                    <w:left w:val="none" w:sz="0" w:space="0" w:color="auto"/>
                                    <w:bottom w:val="none" w:sz="0" w:space="0" w:color="auto"/>
                                    <w:right w:val="none" w:sz="0" w:space="0" w:color="auto"/>
                                  </w:divBdr>
                                  <w:divsChild>
                                    <w:div w:id="883717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764170">
      <w:bodyDiv w:val="1"/>
      <w:marLeft w:val="0"/>
      <w:marRight w:val="0"/>
      <w:marTop w:val="0"/>
      <w:marBottom w:val="0"/>
      <w:divBdr>
        <w:top w:val="none" w:sz="0" w:space="0" w:color="auto"/>
        <w:left w:val="none" w:sz="0" w:space="0" w:color="auto"/>
        <w:bottom w:val="none" w:sz="0" w:space="0" w:color="auto"/>
        <w:right w:val="none" w:sz="0" w:space="0" w:color="auto"/>
      </w:divBdr>
      <w:divsChild>
        <w:div w:id="2144761428">
          <w:marLeft w:val="0"/>
          <w:marRight w:val="0"/>
          <w:marTop w:val="0"/>
          <w:marBottom w:val="0"/>
          <w:divBdr>
            <w:top w:val="none" w:sz="0" w:space="0" w:color="auto"/>
            <w:left w:val="none" w:sz="0" w:space="0" w:color="auto"/>
            <w:bottom w:val="none" w:sz="0" w:space="0" w:color="auto"/>
            <w:right w:val="none" w:sz="0" w:space="0" w:color="auto"/>
          </w:divBdr>
          <w:divsChild>
            <w:div w:id="886844469">
              <w:marLeft w:val="0"/>
              <w:marRight w:val="0"/>
              <w:marTop w:val="0"/>
              <w:marBottom w:val="0"/>
              <w:divBdr>
                <w:top w:val="none" w:sz="0" w:space="0" w:color="auto"/>
                <w:left w:val="none" w:sz="0" w:space="0" w:color="auto"/>
                <w:bottom w:val="none" w:sz="0" w:space="0" w:color="auto"/>
                <w:right w:val="none" w:sz="0" w:space="0" w:color="auto"/>
              </w:divBdr>
              <w:divsChild>
                <w:div w:id="293021760">
                  <w:marLeft w:val="0"/>
                  <w:marRight w:val="0"/>
                  <w:marTop w:val="0"/>
                  <w:marBottom w:val="0"/>
                  <w:divBdr>
                    <w:top w:val="none" w:sz="0" w:space="0" w:color="auto"/>
                    <w:left w:val="none" w:sz="0" w:space="0" w:color="auto"/>
                    <w:bottom w:val="none" w:sz="0" w:space="0" w:color="auto"/>
                    <w:right w:val="none" w:sz="0" w:space="0" w:color="auto"/>
                  </w:divBdr>
                  <w:divsChild>
                    <w:div w:id="964966668">
                      <w:marLeft w:val="0"/>
                      <w:marRight w:val="0"/>
                      <w:marTop w:val="0"/>
                      <w:marBottom w:val="0"/>
                      <w:divBdr>
                        <w:top w:val="none" w:sz="0" w:space="0" w:color="auto"/>
                        <w:left w:val="none" w:sz="0" w:space="0" w:color="auto"/>
                        <w:bottom w:val="none" w:sz="0" w:space="0" w:color="auto"/>
                        <w:right w:val="none" w:sz="0" w:space="0" w:color="auto"/>
                      </w:divBdr>
                      <w:divsChild>
                        <w:div w:id="1539661405">
                          <w:marLeft w:val="0"/>
                          <w:marRight w:val="0"/>
                          <w:marTop w:val="0"/>
                          <w:marBottom w:val="0"/>
                          <w:divBdr>
                            <w:top w:val="none" w:sz="0" w:space="0" w:color="auto"/>
                            <w:left w:val="none" w:sz="0" w:space="0" w:color="auto"/>
                            <w:bottom w:val="none" w:sz="0" w:space="0" w:color="auto"/>
                            <w:right w:val="none" w:sz="0" w:space="0" w:color="auto"/>
                          </w:divBdr>
                          <w:divsChild>
                            <w:div w:id="1867399375">
                              <w:marLeft w:val="0"/>
                              <w:marRight w:val="0"/>
                              <w:marTop w:val="0"/>
                              <w:marBottom w:val="0"/>
                              <w:divBdr>
                                <w:top w:val="none" w:sz="0" w:space="0" w:color="auto"/>
                                <w:left w:val="none" w:sz="0" w:space="0" w:color="auto"/>
                                <w:bottom w:val="none" w:sz="0" w:space="0" w:color="auto"/>
                                <w:right w:val="none" w:sz="0" w:space="0" w:color="auto"/>
                              </w:divBdr>
                              <w:divsChild>
                                <w:div w:id="294991105">
                                  <w:marLeft w:val="0"/>
                                  <w:marRight w:val="0"/>
                                  <w:marTop w:val="0"/>
                                  <w:marBottom w:val="0"/>
                                  <w:divBdr>
                                    <w:top w:val="none" w:sz="0" w:space="0" w:color="auto"/>
                                    <w:left w:val="none" w:sz="0" w:space="0" w:color="auto"/>
                                    <w:bottom w:val="none" w:sz="0" w:space="0" w:color="auto"/>
                                    <w:right w:val="none" w:sz="0" w:space="0" w:color="auto"/>
                                  </w:divBdr>
                                  <w:divsChild>
                                    <w:div w:id="1043797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27749434">
      <w:bodyDiv w:val="1"/>
      <w:marLeft w:val="0"/>
      <w:marRight w:val="0"/>
      <w:marTop w:val="0"/>
      <w:marBottom w:val="0"/>
      <w:divBdr>
        <w:top w:val="none" w:sz="0" w:space="0" w:color="auto"/>
        <w:left w:val="none" w:sz="0" w:space="0" w:color="auto"/>
        <w:bottom w:val="none" w:sz="0" w:space="0" w:color="auto"/>
        <w:right w:val="none" w:sz="0" w:space="0" w:color="auto"/>
      </w:divBdr>
    </w:div>
    <w:div w:id="1026908281">
      <w:bodyDiv w:val="1"/>
      <w:marLeft w:val="0"/>
      <w:marRight w:val="0"/>
      <w:marTop w:val="0"/>
      <w:marBottom w:val="0"/>
      <w:divBdr>
        <w:top w:val="none" w:sz="0" w:space="0" w:color="auto"/>
        <w:left w:val="none" w:sz="0" w:space="0" w:color="auto"/>
        <w:bottom w:val="none" w:sz="0" w:space="0" w:color="auto"/>
        <w:right w:val="none" w:sz="0" w:space="0" w:color="auto"/>
      </w:divBdr>
    </w:div>
    <w:div w:id="1113288178">
      <w:bodyDiv w:val="1"/>
      <w:marLeft w:val="0"/>
      <w:marRight w:val="0"/>
      <w:marTop w:val="0"/>
      <w:marBottom w:val="0"/>
      <w:divBdr>
        <w:top w:val="none" w:sz="0" w:space="0" w:color="auto"/>
        <w:left w:val="none" w:sz="0" w:space="0" w:color="auto"/>
        <w:bottom w:val="none" w:sz="0" w:space="0" w:color="auto"/>
        <w:right w:val="none" w:sz="0" w:space="0" w:color="auto"/>
      </w:divBdr>
    </w:div>
    <w:div w:id="114408586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6310260">
      <w:bodyDiv w:val="1"/>
      <w:marLeft w:val="0"/>
      <w:marRight w:val="0"/>
      <w:marTop w:val="0"/>
      <w:marBottom w:val="0"/>
      <w:divBdr>
        <w:top w:val="none" w:sz="0" w:space="0" w:color="auto"/>
        <w:left w:val="none" w:sz="0" w:space="0" w:color="auto"/>
        <w:bottom w:val="none" w:sz="0" w:space="0" w:color="auto"/>
        <w:right w:val="none" w:sz="0" w:space="0" w:color="auto"/>
      </w:divBdr>
    </w:div>
    <w:div w:id="1422332162">
      <w:bodyDiv w:val="1"/>
      <w:marLeft w:val="0"/>
      <w:marRight w:val="0"/>
      <w:marTop w:val="0"/>
      <w:marBottom w:val="0"/>
      <w:divBdr>
        <w:top w:val="none" w:sz="0" w:space="0" w:color="auto"/>
        <w:left w:val="none" w:sz="0" w:space="0" w:color="auto"/>
        <w:bottom w:val="none" w:sz="0" w:space="0" w:color="auto"/>
        <w:right w:val="none" w:sz="0" w:space="0" w:color="auto"/>
      </w:divBdr>
    </w:div>
    <w:div w:id="1453865200">
      <w:bodyDiv w:val="1"/>
      <w:marLeft w:val="0"/>
      <w:marRight w:val="0"/>
      <w:marTop w:val="0"/>
      <w:marBottom w:val="0"/>
      <w:divBdr>
        <w:top w:val="none" w:sz="0" w:space="0" w:color="auto"/>
        <w:left w:val="none" w:sz="0" w:space="0" w:color="auto"/>
        <w:bottom w:val="none" w:sz="0" w:space="0" w:color="auto"/>
        <w:right w:val="none" w:sz="0" w:space="0" w:color="auto"/>
      </w:divBdr>
    </w:div>
    <w:div w:id="1461457660">
      <w:bodyDiv w:val="1"/>
      <w:marLeft w:val="0"/>
      <w:marRight w:val="0"/>
      <w:marTop w:val="0"/>
      <w:marBottom w:val="0"/>
      <w:divBdr>
        <w:top w:val="none" w:sz="0" w:space="0" w:color="auto"/>
        <w:left w:val="none" w:sz="0" w:space="0" w:color="auto"/>
        <w:bottom w:val="none" w:sz="0" w:space="0" w:color="auto"/>
        <w:right w:val="none" w:sz="0" w:space="0" w:color="auto"/>
      </w:divBdr>
    </w:div>
    <w:div w:id="147325169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4971959">
      <w:bodyDiv w:val="1"/>
      <w:marLeft w:val="0"/>
      <w:marRight w:val="0"/>
      <w:marTop w:val="0"/>
      <w:marBottom w:val="0"/>
      <w:divBdr>
        <w:top w:val="none" w:sz="0" w:space="0" w:color="auto"/>
        <w:left w:val="none" w:sz="0" w:space="0" w:color="auto"/>
        <w:bottom w:val="none" w:sz="0" w:space="0" w:color="auto"/>
        <w:right w:val="none" w:sz="0" w:space="0" w:color="auto"/>
      </w:divBdr>
    </w:div>
    <w:div w:id="1992900531">
      <w:bodyDiv w:val="1"/>
      <w:marLeft w:val="0"/>
      <w:marRight w:val="0"/>
      <w:marTop w:val="0"/>
      <w:marBottom w:val="0"/>
      <w:divBdr>
        <w:top w:val="none" w:sz="0" w:space="0" w:color="auto"/>
        <w:left w:val="none" w:sz="0" w:space="0" w:color="auto"/>
        <w:bottom w:val="none" w:sz="0" w:space="0" w:color="auto"/>
        <w:right w:val="none" w:sz="0" w:space="0" w:color="auto"/>
      </w:divBdr>
      <w:divsChild>
        <w:div w:id="1849565803">
          <w:marLeft w:val="0"/>
          <w:marRight w:val="0"/>
          <w:marTop w:val="0"/>
          <w:marBottom w:val="0"/>
          <w:divBdr>
            <w:top w:val="none" w:sz="0" w:space="0" w:color="auto"/>
            <w:left w:val="none" w:sz="0" w:space="0" w:color="auto"/>
            <w:bottom w:val="none" w:sz="0" w:space="0" w:color="auto"/>
            <w:right w:val="none" w:sz="0" w:space="0" w:color="auto"/>
          </w:divBdr>
          <w:divsChild>
            <w:div w:id="205534942">
              <w:marLeft w:val="0"/>
              <w:marRight w:val="0"/>
              <w:marTop w:val="0"/>
              <w:marBottom w:val="0"/>
              <w:divBdr>
                <w:top w:val="none" w:sz="0" w:space="0" w:color="auto"/>
                <w:left w:val="none" w:sz="0" w:space="0" w:color="auto"/>
                <w:bottom w:val="none" w:sz="0" w:space="0" w:color="auto"/>
                <w:right w:val="none" w:sz="0" w:space="0" w:color="auto"/>
              </w:divBdr>
              <w:divsChild>
                <w:div w:id="1608924945">
                  <w:marLeft w:val="0"/>
                  <w:marRight w:val="0"/>
                  <w:marTop w:val="0"/>
                  <w:marBottom w:val="0"/>
                  <w:divBdr>
                    <w:top w:val="none" w:sz="0" w:space="0" w:color="auto"/>
                    <w:left w:val="none" w:sz="0" w:space="0" w:color="auto"/>
                    <w:bottom w:val="none" w:sz="0" w:space="0" w:color="auto"/>
                    <w:right w:val="none" w:sz="0" w:space="0" w:color="auto"/>
                  </w:divBdr>
                  <w:divsChild>
                    <w:div w:id="1624380113">
                      <w:marLeft w:val="0"/>
                      <w:marRight w:val="0"/>
                      <w:marTop w:val="0"/>
                      <w:marBottom w:val="0"/>
                      <w:divBdr>
                        <w:top w:val="none" w:sz="0" w:space="0" w:color="auto"/>
                        <w:left w:val="none" w:sz="0" w:space="0" w:color="auto"/>
                        <w:bottom w:val="none" w:sz="0" w:space="0" w:color="auto"/>
                        <w:right w:val="none" w:sz="0" w:space="0" w:color="auto"/>
                      </w:divBdr>
                      <w:divsChild>
                        <w:div w:id="986934205">
                          <w:marLeft w:val="0"/>
                          <w:marRight w:val="0"/>
                          <w:marTop w:val="0"/>
                          <w:marBottom w:val="0"/>
                          <w:divBdr>
                            <w:top w:val="none" w:sz="0" w:space="0" w:color="auto"/>
                            <w:left w:val="none" w:sz="0" w:space="0" w:color="auto"/>
                            <w:bottom w:val="none" w:sz="0" w:space="0" w:color="auto"/>
                            <w:right w:val="none" w:sz="0" w:space="0" w:color="auto"/>
                          </w:divBdr>
                          <w:divsChild>
                            <w:div w:id="1158111354">
                              <w:marLeft w:val="0"/>
                              <w:marRight w:val="0"/>
                              <w:marTop w:val="0"/>
                              <w:marBottom w:val="0"/>
                              <w:divBdr>
                                <w:top w:val="none" w:sz="0" w:space="0" w:color="auto"/>
                                <w:left w:val="none" w:sz="0" w:space="0" w:color="auto"/>
                                <w:bottom w:val="none" w:sz="0" w:space="0" w:color="auto"/>
                                <w:right w:val="none" w:sz="0" w:space="0" w:color="auto"/>
                              </w:divBdr>
                              <w:divsChild>
                                <w:div w:id="1769038576">
                                  <w:marLeft w:val="0"/>
                                  <w:marRight w:val="0"/>
                                  <w:marTop w:val="0"/>
                                  <w:marBottom w:val="0"/>
                                  <w:divBdr>
                                    <w:top w:val="none" w:sz="0" w:space="0" w:color="auto"/>
                                    <w:left w:val="none" w:sz="0" w:space="0" w:color="auto"/>
                                    <w:bottom w:val="none" w:sz="0" w:space="0" w:color="auto"/>
                                    <w:right w:val="none" w:sz="0" w:space="0" w:color="auto"/>
                                  </w:divBdr>
                                  <w:divsChild>
                                    <w:div w:id="85271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862745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856048">
      <w:bodyDiv w:val="1"/>
      <w:marLeft w:val="0"/>
      <w:marRight w:val="0"/>
      <w:marTop w:val="0"/>
      <w:marBottom w:val="0"/>
      <w:divBdr>
        <w:top w:val="none" w:sz="0" w:space="0" w:color="auto"/>
        <w:left w:val="none" w:sz="0" w:space="0" w:color="auto"/>
        <w:bottom w:val="none" w:sz="0" w:space="0" w:color="auto"/>
        <w:right w:val="none" w:sz="0" w:space="0" w:color="auto"/>
      </w:divBdr>
    </w:div>
    <w:div w:id="21374831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2003138/https:/www.onexpo.com.mx/NOTICIAS/SUPREMA-CORTE-ORDENA-A-PEMEX-TRANSPARENTAR-CIFRAS-_tvYD7/" TargetMode="External"/><Relationship Id="rId3" Type="http://schemas.openxmlformats.org/officeDocument/2006/relationships/customXml" Target="../customXml/item3.xml"/><Relationship Id="rId21" Type="http://schemas.openxmlformats.org/officeDocument/2006/relationships/hyperlink" Target="https://web.archive.org/web/20250722003138/https:/www.onexpo.com.mx/NOTICIAS/SUPREMA-CORTE-ORDENA-A-PEMEX-TRANSPARENTAR-CIFRAS-_tvYD7/"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92244/https://www.dof.gob.mx/nota_detalle.php?codigo=5543033&amp;fecha=06/11/201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48835D3-549A-4E5B-8A2C-C786B8A7278C}"/>
</file>

<file path=docProps/app.xml><?xml version="1.0" encoding="utf-8"?>
<Properties xmlns="http://schemas.openxmlformats.org/officeDocument/2006/extended-properties" xmlns:vt="http://schemas.openxmlformats.org/officeDocument/2006/docPropsVTypes">
  <Template>Normal</Template>
  <TotalTime>4</TotalTime>
  <Pages>1</Pages>
  <Words>23542</Words>
  <Characters>129482</Characters>
  <Application>Microsoft Office Word</Application>
  <DocSecurity>0</DocSecurity>
  <Lines>1079</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2025-07-22T00:35:00Z</dcterms:created>
  <dcterms:modified xsi:type="dcterms:W3CDTF">2025-07-22T00:35:00Z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